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4027"/>
        <w:gridCol w:w="1274"/>
        <w:gridCol w:w="1274"/>
        <w:gridCol w:w="1115"/>
      </w:tblGrid>
      <w:tr w:rsidR="00BA6CD7" w:rsidRPr="00BA6CD7" w:rsidTr="00BA6CD7">
        <w:trPr>
          <w:trHeight w:val="282"/>
        </w:trPr>
        <w:tc>
          <w:tcPr>
            <w:tcW w:w="9062" w:type="dxa"/>
            <w:gridSpan w:val="5"/>
            <w:noWrap/>
            <w:hideMark/>
          </w:tcPr>
          <w:p w:rsidR="00BA6CD7" w:rsidRPr="00BA6CD7" w:rsidRDefault="00BA6CD7" w:rsidP="00BA6CD7">
            <w:pPr>
              <w:rPr>
                <w:b/>
                <w:bCs/>
                <w:sz w:val="28"/>
                <w:szCs w:val="28"/>
              </w:rPr>
            </w:pPr>
            <w:r w:rsidRPr="00BA6CD7">
              <w:rPr>
                <w:b/>
                <w:bCs/>
                <w:sz w:val="28"/>
                <w:szCs w:val="28"/>
              </w:rPr>
              <w:t>Financijski plan POU Samobor za 2020. - III. Izmjene</w:t>
            </w:r>
          </w:p>
        </w:tc>
      </w:tr>
      <w:tr w:rsidR="00BA6CD7" w:rsidRPr="00BA6CD7" w:rsidTr="00BA6CD7">
        <w:trPr>
          <w:trHeight w:val="282"/>
        </w:trPr>
        <w:tc>
          <w:tcPr>
            <w:tcW w:w="9062" w:type="dxa"/>
            <w:gridSpan w:val="5"/>
            <w:noWrap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</w:p>
        </w:tc>
      </w:tr>
      <w:tr w:rsidR="00BA6CD7" w:rsidRPr="00BA6CD7" w:rsidTr="00BA6CD7">
        <w:trPr>
          <w:trHeight w:val="282"/>
        </w:trPr>
        <w:tc>
          <w:tcPr>
            <w:tcW w:w="9062" w:type="dxa"/>
            <w:gridSpan w:val="5"/>
            <w:noWrap/>
            <w:hideMark/>
          </w:tcPr>
          <w:p w:rsidR="00BA6CD7" w:rsidRPr="00BA6CD7" w:rsidRDefault="00BA6CD7"/>
        </w:tc>
      </w:tr>
      <w:tr w:rsidR="00BA6CD7" w:rsidRPr="00BA6CD7" w:rsidTr="00BA6CD7">
        <w:trPr>
          <w:trHeight w:val="282"/>
        </w:trPr>
        <w:tc>
          <w:tcPr>
            <w:tcW w:w="1372" w:type="dxa"/>
            <w:noWrap/>
            <w:hideMark/>
          </w:tcPr>
          <w:p w:rsidR="00BA6CD7" w:rsidRPr="00BA6CD7" w:rsidRDefault="00BA6CD7"/>
        </w:tc>
        <w:tc>
          <w:tcPr>
            <w:tcW w:w="4196" w:type="dxa"/>
            <w:hideMark/>
          </w:tcPr>
          <w:p w:rsidR="00BA6CD7" w:rsidRPr="00BA6CD7" w:rsidRDefault="00BA6CD7"/>
        </w:tc>
        <w:tc>
          <w:tcPr>
            <w:tcW w:w="1274" w:type="dxa"/>
            <w:noWrap/>
            <w:hideMark/>
          </w:tcPr>
          <w:p w:rsidR="00BA6CD7" w:rsidRPr="00BA6CD7" w:rsidRDefault="00BA6CD7"/>
        </w:tc>
        <w:tc>
          <w:tcPr>
            <w:tcW w:w="1274" w:type="dxa"/>
            <w:noWrap/>
            <w:hideMark/>
          </w:tcPr>
          <w:p w:rsidR="00BA6CD7" w:rsidRPr="00BA6CD7" w:rsidRDefault="00BA6CD7"/>
        </w:tc>
        <w:tc>
          <w:tcPr>
            <w:tcW w:w="946" w:type="dxa"/>
            <w:noWrap/>
            <w:hideMark/>
          </w:tcPr>
          <w:p w:rsidR="00BA6CD7" w:rsidRPr="00BA6CD7" w:rsidRDefault="00BA6CD7"/>
        </w:tc>
      </w:tr>
      <w:tr w:rsidR="00BA6CD7" w:rsidRPr="00BA6CD7" w:rsidTr="00BA6CD7">
        <w:trPr>
          <w:trHeight w:val="49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proofErr w:type="spellStart"/>
            <w:r w:rsidRPr="00BA6CD7">
              <w:rPr>
                <w:b/>
                <w:bCs/>
              </w:rPr>
              <w:t>Pror</w:t>
            </w:r>
            <w:proofErr w:type="spellEnd"/>
            <w:r w:rsidRPr="00BA6CD7">
              <w:rPr>
                <w:b/>
                <w:bCs/>
              </w:rPr>
              <w:t>.</w:t>
            </w:r>
            <w:r w:rsidRPr="00BA6CD7">
              <w:rPr>
                <w:b/>
                <w:bCs/>
              </w:rPr>
              <w:br/>
              <w:t>klas.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Vrsta rashoda/izdataka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Proračun</w:t>
            </w:r>
            <w:r w:rsidRPr="00BA6CD7">
              <w:rPr>
                <w:b/>
                <w:bCs/>
              </w:rPr>
              <w:br/>
              <w:t>2020.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Izmjena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Novi plan</w:t>
            </w:r>
            <w:r w:rsidRPr="00BA6CD7">
              <w:rPr>
                <w:b/>
                <w:bCs/>
              </w:rPr>
              <w:br/>
              <w:t>2020.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Proračunski korisnik  26311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Pučko otvoreno učilište Samobor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7.236.646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96.643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7.333.289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Program  4040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JAVNE POTREBE U KULTURI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7.064.646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144.273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7.208.919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Aktivnost  A404001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Redovna djelatnost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3.277.073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37.099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3.314.172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1.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OPĆI PRIHODI I PRIMICI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2.780.581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2.817.581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2.780.581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2.817.581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Rashodi za zaposlene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2.363.161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-16.000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2.347.161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311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Plaće (Bruto)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1.842.774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-11.000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1.831.774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312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rashodi za zaposlene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221.052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-5.000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216.052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313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Doprinosi na plaće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299.335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299.335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417.420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53.000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470.420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70.420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70.420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151.000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188.000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195.000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16.000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211.000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2.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VLASTITI PRIHODI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496.492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99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496.591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496.492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99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496.591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Rashodi za zaposlene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115.587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115.587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311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Plaće (Bruto)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115.587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115.587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486.992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-122.650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364.342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7.062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7.062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112.000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-74.000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38.000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308.000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-68.000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240.000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59.930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19.350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79.280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34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Financijski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7.162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16.662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343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financijski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9.500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7.162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16.662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Aktivnost  A404007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Samoborska glazbena jesen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468.000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518.000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1.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OPĆI PRIHODI I PRIMICI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114.000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114.000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114.000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94.000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94.000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20.000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2.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VLASTITI PRIHODI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40.000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lastRenderedPageBreak/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40.000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40.000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35.000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4.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310.000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360.000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310.000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360.000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310.000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360.000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253.500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70.000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323.500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56.500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-20.000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36.500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5.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DONACIJE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4.000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Aktivnost  A404009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Galerija Prica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102.500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28.500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131.000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1.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OPĆI PRIHODI I PRIMICI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65.000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65.000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65.000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65.000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4.000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61.000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61.000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2.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VLASTITI PRIHODI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29.000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29.000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5.000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4.000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Rashodi za nabavu proizvedene dugotrajne imovine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424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Knjige, umjetnička djela i ostale izložbene vrijednosti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17.000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4.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23.500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11.500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35.000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23.500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11.500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23.500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11.500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17.500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9.500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27.000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6.000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lastRenderedPageBreak/>
              <w:t>Izvor   5.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DONACIJE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Aktivnost  A404010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Posebni programi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304.900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-92.000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212.900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1.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OPĆI PRIHODI I PRIMICI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128.400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148.400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128.400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148.400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128.400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148.400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123.500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143.500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3.400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3.400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2.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VLASTITI PRIHODI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127.500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-105.000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22.500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127.500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-105.000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22.500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127.500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-105.000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22.500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121.000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-105.000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16.000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4.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49.000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49.000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49.000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45.500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38.500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Aktivnost  A404017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Stručno osposobljavanje za rad bez zasnivanja radnog odnosa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2.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VLASTITI PRIHODI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324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osobama izvan radnog odnosa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4.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8.000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8.000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8.000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8.000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8.000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8.000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324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osobama izvan radnog odnosa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8.000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8.000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lastRenderedPageBreak/>
              <w:t>Aktivnost  A404019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Centar za mlade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791.450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-76.875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714.575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1.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OPĆI PRIHODI I PRIMICI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751.450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-57.000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694.450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751.450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-57.000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694.450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726.450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-57.000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669.450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149.000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149.000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551.900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-53.000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498.900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25.550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-4.000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21.550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 xml:space="preserve">Rashodi za nabavu </w:t>
            </w:r>
            <w:proofErr w:type="spellStart"/>
            <w:r w:rsidRPr="00BA6CD7">
              <w:rPr>
                <w:b/>
                <w:bCs/>
              </w:rPr>
              <w:t>neproizvedene</w:t>
            </w:r>
            <w:proofErr w:type="spellEnd"/>
            <w:r w:rsidRPr="00BA6CD7">
              <w:rPr>
                <w:b/>
                <w:bCs/>
              </w:rPr>
              <w:t xml:space="preserve"> dugotrajne imovine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25.000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412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Nematerijalna imovina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25.000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2.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VLASTITI PRIHODI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-13.000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-13.000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-13.000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-2.000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-4.000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8.000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8.000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-7.000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4.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18.000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-6.875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11.125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18.000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-6.875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11.125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18.000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-6.875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11.125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5.000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-2.000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13.000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-4.875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8.125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Aktivnost  A404020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proofErr w:type="spellStart"/>
            <w:r w:rsidRPr="00BA6CD7">
              <w:rPr>
                <w:b/>
                <w:bCs/>
              </w:rPr>
              <w:t>Kinoprikazivačka</w:t>
            </w:r>
            <w:proofErr w:type="spellEnd"/>
            <w:r w:rsidRPr="00BA6CD7">
              <w:rPr>
                <w:b/>
                <w:bCs/>
              </w:rPr>
              <w:t xml:space="preserve"> djelatnost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334.480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55.500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389.980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1.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OPĆI PRIHODI I PRIMICI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162.000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-20.000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142.000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162.000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-20.000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162.000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-20.000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162.000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-20.000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142.000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2.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VLASTITI PRIHODI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75.200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-30.000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45.200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75.200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-30.000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45.200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75.200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-30.000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45.200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4.000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63.500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-30.000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33.500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4.200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4.200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4.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57.500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-2.500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55.000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57.500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-2.500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57.500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-2.500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lastRenderedPageBreak/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57.500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-2.500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55.000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5.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DONACIJE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39.780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108.000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147.780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39.780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108.000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147.780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39.780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108.000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147.780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5.780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10.388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16.168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34.000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94.612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128.612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Aktivnost  A404021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Obrazovanje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262.000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68.915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330.915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2.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VLASTITI PRIHODI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242.000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-29.000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213.000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242.000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-29.000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213.000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242.000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-29.000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213.000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225.000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-29.000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196.000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11.500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11.500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4.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97.915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117.915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97.915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117.915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97.915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117.915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80.000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80.000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17.915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37.915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Kapitalni projekt  K404002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Oprema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320.703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-31.700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289.003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1.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OPĆI PRIHODI I PRIMICI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179.000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179.000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179.000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179.000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Rashodi za nabavu proizvedene dugotrajne imovine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179.000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179.000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422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Postrojenja i oprema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179.000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179.000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2.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VLASTITI PRIHODI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141.703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-31.700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110.003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141.703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-31.700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110.003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Rashodi za nabavu proizvedene dugotrajne imovine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141.703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-31.700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110.003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422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Postrojenja i oprema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141.703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-31.700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110.003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Kapitalni projekt  K404003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Oprema za Centar za mlade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1.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OPĆI PRIHODI I PRIMICI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25.000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lastRenderedPageBreak/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Rashodi za nabavu proizvedene dugotrajne imovine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25.000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422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Postrojenja i oprema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5.000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25.000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Tekući projekt  T404001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proofErr w:type="spellStart"/>
            <w:r w:rsidRPr="00BA6CD7">
              <w:rPr>
                <w:b/>
                <w:bCs/>
              </w:rPr>
              <w:t>Gastro</w:t>
            </w:r>
            <w:proofErr w:type="spellEnd"/>
            <w:r w:rsidRPr="00BA6CD7">
              <w:rPr>
                <w:b/>
                <w:bCs/>
              </w:rPr>
              <w:t xml:space="preserve"> klub za pametno zapošljavanje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752.040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56.747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808.787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4.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752.040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56.747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808.787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0820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Službe kulture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65.361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65.361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20.436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20.436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9.436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9.436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37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Naknade građanima i kućanstvima na temelju osiguranja i druge naknade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44.925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44.925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372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Ostale naknade građanima i kućanstvima iz proračuna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44.925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44.925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0950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Obrazovanje koje se ne može definirati po stupnju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686.679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56.747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743.426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551.679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54.647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606.326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29.200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34.647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63.847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521.479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20.000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541.479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36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 dane u inozemstvo i unutar općeg proračuna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99.000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2.100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101.100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366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Pomoći proračunskim korisnicima drugih proračuna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14.850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315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15.165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368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Pomoći temeljem prijenosa EU sredstava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84.150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1.785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85.935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38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Ostali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36.000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36.000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381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Tekuće donacije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36.000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36.000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Tekući projekt  T404002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Mjesto za nas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422.500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43.087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465.587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4.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422.500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43.087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465.587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0950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Obrazovanje koje se ne može definirati po stupnju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422.500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43.087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465.587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Rashodi za zaposlene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86.000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86.000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311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Plaće (Bruto)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72.820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72.820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313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Doprinosi na plaće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13.180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13.180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249.700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38.591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288.291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321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Naknade troškova zaposlenima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4.500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29.545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69.545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202.200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9.046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211.246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3.000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35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Subvencije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10.000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lastRenderedPageBreak/>
              <w:t>352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Subvencije trgovačkim društvima, zadrugama, poljoprivrednicima i obrtnicima izvan javnog sektora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1.500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353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Subvencije trgovačkim društvima, zadrugama, poljoprivrednicima i obrtnicima iz EU sredstava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8.500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8.500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37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Naknade građanima i kućanstvima na temelju osiguranja i druge naknade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36.800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4.496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41.296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372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Ostale naknade građanima i kućanstvima iz proračuna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36.800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4.496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41.296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Rashodi za nabavu proizvedene dugotrajne imovine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40.000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422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Postrojenja i oprema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40.000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40.000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Program  4095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SOCIJALNA SKRB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-47.630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124.370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Tekući projekt  T409502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"Zajedno možemo naprijed!" - POU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-47.630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124.370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Izvor   4.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POMOĆI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-47.630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124.370</w:t>
            </w:r>
          </w:p>
        </w:tc>
      </w:tr>
      <w:tr w:rsidR="00BA6CD7" w:rsidRPr="00BA6CD7" w:rsidTr="00BA6CD7">
        <w:trPr>
          <w:trHeight w:val="510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Funkcijska klasifikacija   1090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Aktivnosti socijalne zaštite koje nisu drugdje svrstane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-47.630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124.370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32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Materijalni rashodi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172.000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-47.630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pPr>
              <w:rPr>
                <w:b/>
                <w:bCs/>
              </w:rPr>
            </w:pPr>
            <w:r w:rsidRPr="00BA6CD7">
              <w:rPr>
                <w:b/>
                <w:bCs/>
              </w:rPr>
              <w:t>124.370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322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materijal i energiju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10.109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-10.109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323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Rashodi za usluge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159.691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-35.321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124.370</w:t>
            </w:r>
          </w:p>
        </w:tc>
      </w:tr>
      <w:tr w:rsidR="00BA6CD7" w:rsidRPr="00BA6CD7" w:rsidTr="00BA6CD7">
        <w:trPr>
          <w:trHeight w:val="255"/>
        </w:trPr>
        <w:tc>
          <w:tcPr>
            <w:tcW w:w="1372" w:type="dxa"/>
            <w:hideMark/>
          </w:tcPr>
          <w:p w:rsidR="00BA6CD7" w:rsidRPr="00BA6CD7" w:rsidRDefault="00BA6CD7">
            <w:r w:rsidRPr="00BA6CD7">
              <w:t>329</w:t>
            </w:r>
          </w:p>
        </w:tc>
        <w:tc>
          <w:tcPr>
            <w:tcW w:w="4196" w:type="dxa"/>
            <w:hideMark/>
          </w:tcPr>
          <w:p w:rsidR="00BA6CD7" w:rsidRPr="00BA6CD7" w:rsidRDefault="00BA6CD7">
            <w:r w:rsidRPr="00BA6CD7">
              <w:t>Ostali nespomenuti rashodi poslovanja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2.200</w:t>
            </w:r>
          </w:p>
        </w:tc>
        <w:tc>
          <w:tcPr>
            <w:tcW w:w="1274" w:type="dxa"/>
            <w:hideMark/>
          </w:tcPr>
          <w:p w:rsidR="00BA6CD7" w:rsidRPr="00BA6CD7" w:rsidRDefault="00BA6CD7" w:rsidP="00BA6CD7">
            <w:r w:rsidRPr="00BA6CD7">
              <w:t>-2.200</w:t>
            </w:r>
          </w:p>
        </w:tc>
        <w:tc>
          <w:tcPr>
            <w:tcW w:w="946" w:type="dxa"/>
            <w:hideMark/>
          </w:tcPr>
          <w:p w:rsidR="00BA6CD7" w:rsidRPr="00BA6CD7" w:rsidRDefault="00BA6CD7" w:rsidP="00BA6CD7">
            <w:r w:rsidRPr="00BA6CD7">
              <w:t>0</w:t>
            </w:r>
          </w:p>
        </w:tc>
      </w:tr>
    </w:tbl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BA6CD7" w:rsidRPr="007E0149" w:rsidRDefault="00BA6CD7" w:rsidP="00BA6CD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E0149">
        <w:rPr>
          <w:b/>
        </w:rPr>
        <w:lastRenderedPageBreak/>
        <w:t>OBRAZLOŽENJE FIN</w:t>
      </w:r>
      <w:r>
        <w:rPr>
          <w:b/>
        </w:rPr>
        <w:t>ANCIJSKOG PLANA ZA RAZDOBLJE 2020</w:t>
      </w:r>
      <w:r w:rsidRPr="007E0149">
        <w:rPr>
          <w:b/>
        </w:rPr>
        <w:t>. - 20</w:t>
      </w:r>
      <w:r>
        <w:rPr>
          <w:b/>
        </w:rPr>
        <w:t>22</w:t>
      </w:r>
      <w:r w:rsidRPr="007E0149">
        <w:rPr>
          <w:b/>
        </w:rPr>
        <w:t>.</w:t>
      </w:r>
    </w:p>
    <w:p w:rsidR="00BA6CD7" w:rsidRPr="007E0149" w:rsidRDefault="00BA6CD7" w:rsidP="00BA6CD7">
      <w:pPr>
        <w:autoSpaceDE w:val="0"/>
        <w:autoSpaceDN w:val="0"/>
        <w:adjustRightInd w:val="0"/>
        <w:jc w:val="center"/>
        <w:rPr>
          <w:b/>
          <w:bCs/>
        </w:rPr>
      </w:pPr>
    </w:p>
    <w:p w:rsidR="00BA6CD7" w:rsidRDefault="00BA6CD7" w:rsidP="00BA6CD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PUČKO OTVORENO UČILIŠTE SAMOBOR</w:t>
      </w:r>
    </w:p>
    <w:p w:rsidR="00BA6CD7" w:rsidRPr="007E0149" w:rsidRDefault="00BA6CD7" w:rsidP="00BA6CD7">
      <w:pPr>
        <w:autoSpaceDE w:val="0"/>
        <w:autoSpaceDN w:val="0"/>
        <w:adjustRightInd w:val="0"/>
        <w:jc w:val="center"/>
        <w:rPr>
          <w:b/>
          <w:bCs/>
        </w:rPr>
      </w:pPr>
      <w:r w:rsidRPr="00703E02">
        <w:rPr>
          <w:b/>
          <w:bCs/>
        </w:rPr>
        <w:t>Izmjene i dopune obrazloženja uz I</w:t>
      </w:r>
      <w:r>
        <w:rPr>
          <w:b/>
          <w:bCs/>
        </w:rPr>
        <w:t>I</w:t>
      </w:r>
      <w:r w:rsidRPr="00703E02">
        <w:rPr>
          <w:b/>
          <w:bCs/>
        </w:rPr>
        <w:t>I.</w:t>
      </w:r>
      <w:r>
        <w:rPr>
          <w:b/>
          <w:bCs/>
        </w:rPr>
        <w:t xml:space="preserve"> izmjene</w:t>
      </w:r>
      <w:r w:rsidRPr="00703E02">
        <w:rPr>
          <w:b/>
          <w:bCs/>
        </w:rPr>
        <w:t xml:space="preserve"> Financijskog plana</w:t>
      </w:r>
    </w:p>
    <w:p w:rsidR="00BA6CD7" w:rsidRPr="007E0149" w:rsidRDefault="00BA6CD7" w:rsidP="00BA6CD7">
      <w:pPr>
        <w:autoSpaceDE w:val="0"/>
        <w:autoSpaceDN w:val="0"/>
        <w:adjustRightInd w:val="0"/>
      </w:pPr>
    </w:p>
    <w:p w:rsidR="00BA6CD7" w:rsidRPr="007E0149" w:rsidRDefault="00BA6CD7" w:rsidP="00BA6CD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062"/>
      </w:tblGrid>
      <w:tr w:rsidR="00BA6CD7" w:rsidRPr="005C0F9B" w:rsidTr="00EA226F">
        <w:tc>
          <w:tcPr>
            <w:tcW w:w="9622" w:type="dxa"/>
            <w:shd w:val="clear" w:color="auto" w:fill="CCCCCC"/>
          </w:tcPr>
          <w:p w:rsidR="00BA6CD7" w:rsidRPr="005C0F9B" w:rsidRDefault="00BA6CD7" w:rsidP="00EA226F">
            <w:pPr>
              <w:pStyle w:val="NormalWeb"/>
              <w:rPr>
                <w:sz w:val="22"/>
              </w:rPr>
            </w:pPr>
            <w:r w:rsidRPr="005C0F9B">
              <w:rPr>
                <w:sz w:val="22"/>
              </w:rPr>
              <w:t>1) SAŽETAK DJELOKRUGA RADA PRORAČUNSKOG KORISNIKA</w:t>
            </w:r>
          </w:p>
        </w:tc>
      </w:tr>
    </w:tbl>
    <w:p w:rsidR="00BA6CD7" w:rsidRDefault="00BA6CD7" w:rsidP="00BA6CD7">
      <w:pPr>
        <w:autoSpaceDE w:val="0"/>
        <w:autoSpaceDN w:val="0"/>
        <w:adjustRightInd w:val="0"/>
        <w:rPr>
          <w:i/>
        </w:rPr>
      </w:pPr>
    </w:p>
    <w:p w:rsidR="00BA6CD7" w:rsidRPr="007B66D5" w:rsidRDefault="00BA6CD7" w:rsidP="00BA6CD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7B66D5">
        <w:t xml:space="preserve">Pučko otvoreno učilište Samobor je javna ustanova za </w:t>
      </w:r>
      <w:r>
        <w:t>cjeloživotno obrazovanje</w:t>
      </w:r>
      <w:r w:rsidRPr="007B66D5">
        <w:t>, kulturu i informiranje. U sklopu Učilišta djeluju Galerija Prica i Centar za mlade Bunker.</w:t>
      </w:r>
    </w:p>
    <w:p w:rsidR="00BA6CD7" w:rsidRPr="007B66D5" w:rsidRDefault="00BA6CD7" w:rsidP="00BA6CD7">
      <w:pPr>
        <w:spacing w:line="360" w:lineRule="auto"/>
        <w:jc w:val="both"/>
      </w:pPr>
      <w:r w:rsidRPr="007B66D5">
        <w:rPr>
          <w:b/>
        </w:rPr>
        <w:t>Kulturni programi</w:t>
      </w:r>
      <w:r w:rsidRPr="007B66D5">
        <w:t xml:space="preserve"> odgovaraju na potrebe za koncertima klasične glazbe, kazališnim predstavama, galerijskim izložbama, filmskim projekcijama, pjesništvom, a uključuju i podržavanje kulturno-umjetničkog amaterizma. </w:t>
      </w:r>
    </w:p>
    <w:p w:rsidR="00BA6CD7" w:rsidRPr="007B66D5" w:rsidRDefault="00BA6CD7" w:rsidP="00BA6CD7">
      <w:pPr>
        <w:spacing w:line="360" w:lineRule="auto"/>
        <w:jc w:val="both"/>
      </w:pPr>
      <w:r w:rsidRPr="007B66D5">
        <w:rPr>
          <w:b/>
        </w:rPr>
        <w:t>Programi obrazovanja</w:t>
      </w:r>
      <w:r w:rsidRPr="007B66D5">
        <w:t xml:space="preserve"> ponajprije odgovaraju na potrebe cjeloživotnog obrazovanja te različitih obrazovnih programa djece i mladih. </w:t>
      </w:r>
    </w:p>
    <w:p w:rsidR="00BA6CD7" w:rsidRPr="007B66D5" w:rsidRDefault="00BA6CD7" w:rsidP="00BA6CD7">
      <w:pPr>
        <w:spacing w:line="360" w:lineRule="auto"/>
        <w:jc w:val="both"/>
      </w:pPr>
      <w:r w:rsidRPr="007B66D5">
        <w:rPr>
          <w:b/>
        </w:rPr>
        <w:t>Djelatnost informiranja</w:t>
      </w:r>
      <w:r w:rsidRPr="007B66D5">
        <w:t xml:space="preserve"> odvija se kroz kontinuirani program predavanja „Građanski utorak“ koji obuhvaća niz predavanja gostujućih predavača na aktualne teme iz zakonodavstva, ekologije, zdravog života, poljoprivrede, poduzetništva i tema za posebne skupine npr. umirovljenici.</w:t>
      </w:r>
    </w:p>
    <w:p w:rsidR="00BA6CD7" w:rsidRPr="007B66D5" w:rsidRDefault="00BA6CD7" w:rsidP="00BA6CD7">
      <w:pPr>
        <w:autoSpaceDE w:val="0"/>
        <w:autoSpaceDN w:val="0"/>
        <w:adjustRightInd w:val="0"/>
        <w:spacing w:line="360" w:lineRule="auto"/>
        <w:jc w:val="both"/>
      </w:pPr>
      <w:r w:rsidRPr="007B66D5">
        <w:rPr>
          <w:b/>
        </w:rPr>
        <w:t>Centar za mlade Bunker</w:t>
      </w:r>
      <w:r w:rsidRPr="007B66D5">
        <w:t xml:space="preserve"> djeluje kao zasebna ustrojstvena jedinica kojoj je cilj omogućavanje kvalitetnog provođenja slobodnog vremena mladih u obliku različitih kulturnih, edukativnih i informativnih događanja.</w:t>
      </w:r>
    </w:p>
    <w:p w:rsidR="00BA6CD7" w:rsidRPr="007B66D5" w:rsidRDefault="00BA6CD7" w:rsidP="00BA6CD7">
      <w:pPr>
        <w:autoSpaceDE w:val="0"/>
        <w:autoSpaceDN w:val="0"/>
        <w:adjustRightInd w:val="0"/>
        <w:spacing w:line="360" w:lineRule="auto"/>
        <w:jc w:val="both"/>
      </w:pPr>
      <w:r w:rsidRPr="007B66D5">
        <w:t xml:space="preserve">U svom radu POU Samobor surađuje s nadležnim Odjelom za društvene djelatnosti u pripremi, financiranju i realizaciji razvojnih programa Grada. </w:t>
      </w:r>
    </w:p>
    <w:p w:rsidR="00BA6CD7" w:rsidRPr="007B66D5" w:rsidRDefault="00BA6CD7" w:rsidP="00BA6CD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66D5">
        <w:t>Pr</w:t>
      </w:r>
      <w:r w:rsidRPr="00EB56DA">
        <w:t>avilnikom o radu POU Samobora utvrđena je organizacija učilišta i sistematizirano je 18 radnih mjesta i 20 izvršitelja (1 radno mjesto se financira isključivo iz EU projekta) te je zaposleno 19 djelatnika.</w:t>
      </w:r>
    </w:p>
    <w:p w:rsidR="00BA6CD7" w:rsidRPr="007B66D5" w:rsidRDefault="00BA6CD7" w:rsidP="00BA6CD7">
      <w:pPr>
        <w:autoSpaceDE w:val="0"/>
        <w:autoSpaceDN w:val="0"/>
        <w:adjustRightInd w:val="0"/>
        <w:spacing w:line="360" w:lineRule="auto"/>
        <w:jc w:val="both"/>
      </w:pPr>
      <w:r w:rsidRPr="007B66D5">
        <w:t>Strateškim planom POU Samobor za 2017.-2021. definirane su glavne strateške odrednice rada učilišta.</w:t>
      </w:r>
    </w:p>
    <w:p w:rsidR="00BA6CD7" w:rsidRPr="007B66D5" w:rsidRDefault="00BA6CD7" w:rsidP="00BA6CD7">
      <w:pPr>
        <w:autoSpaceDE w:val="0"/>
        <w:autoSpaceDN w:val="0"/>
        <w:adjustRightInd w:val="0"/>
        <w:spacing w:line="360" w:lineRule="auto"/>
        <w:jc w:val="both"/>
      </w:pPr>
      <w:r w:rsidRPr="007B66D5">
        <w:rPr>
          <w:b/>
        </w:rPr>
        <w:t xml:space="preserve">Vizija </w:t>
      </w:r>
      <w:r w:rsidRPr="007B66D5">
        <w:t>POU Samobor:</w:t>
      </w:r>
    </w:p>
    <w:p w:rsidR="00BA6CD7" w:rsidRPr="007B66D5" w:rsidRDefault="00BA6CD7" w:rsidP="00BA6C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</w:rPr>
      </w:pPr>
      <w:r w:rsidRPr="007B66D5">
        <w:rPr>
          <w:sz w:val="22"/>
        </w:rPr>
        <w:t xml:space="preserve">Aktivni čimbenik razvoja Samobora kao jedinstvenog multikulturnog centra glazbeno-scenske, vizualne, dramske, likovne, filmske i drugih umjetnosti </w:t>
      </w:r>
    </w:p>
    <w:p w:rsidR="00BA6CD7" w:rsidRPr="007B66D5" w:rsidRDefault="00BA6CD7" w:rsidP="00BA6C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</w:rPr>
      </w:pPr>
      <w:r w:rsidRPr="007B66D5">
        <w:rPr>
          <w:sz w:val="22"/>
        </w:rPr>
        <w:lastRenderedPageBreak/>
        <w:t>POU Samobor kao multimedijalni centar kreativnog stvaranja i produkcija kulturnih proizvoda za širu kulturnu javnost s naglaskom na afirmaciji mladih umjetnika</w:t>
      </w:r>
    </w:p>
    <w:p w:rsidR="00BA6CD7" w:rsidRPr="007B66D5" w:rsidRDefault="00BA6CD7" w:rsidP="00BA6C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</w:rPr>
      </w:pPr>
      <w:r w:rsidRPr="007B66D5">
        <w:rPr>
          <w:sz w:val="22"/>
        </w:rPr>
        <w:t>POU kao aktivni čimbenik rasta i razvoja pojedinca i društva u cjelini kroz cjeloživotno učenje</w:t>
      </w:r>
    </w:p>
    <w:p w:rsidR="00BA6CD7" w:rsidRPr="007B66D5" w:rsidRDefault="00BA6CD7" w:rsidP="00BA6CD7">
      <w:pPr>
        <w:autoSpaceDE w:val="0"/>
        <w:autoSpaceDN w:val="0"/>
        <w:adjustRightInd w:val="0"/>
        <w:spacing w:line="360" w:lineRule="auto"/>
        <w:jc w:val="both"/>
      </w:pPr>
      <w:r w:rsidRPr="007B66D5">
        <w:rPr>
          <w:b/>
        </w:rPr>
        <w:t>Misija</w:t>
      </w:r>
      <w:r w:rsidRPr="007B66D5">
        <w:t xml:space="preserve"> POU Samobor kao javne ustanove za cjeloživotno obrazovanje, kulturu i informiranje je preko svojeg djelovanja afirmirati Samobor kao centar kulturnih i obrazovnih programa. </w:t>
      </w:r>
    </w:p>
    <w:p w:rsidR="00BA6CD7" w:rsidRPr="007B66D5" w:rsidRDefault="00BA6CD7" w:rsidP="00BA6CD7">
      <w:pPr>
        <w:autoSpaceDE w:val="0"/>
        <w:autoSpaceDN w:val="0"/>
        <w:adjustRightInd w:val="0"/>
        <w:spacing w:line="360" w:lineRule="auto"/>
        <w:jc w:val="both"/>
      </w:pPr>
      <w:r w:rsidRPr="007B66D5">
        <w:t>Poštujući tradiciju otvorenosti Samobora prema novim izazovima i kulturnim izričajima i misija Pučkog otvorenog učilišta djeluje u pravcu stvaranja novih vrijednosti na svim umjetničkim poljima i popularizaciji kulturnih proizvoda i kulturnog stvaralaštva u lokalnoj zajednici, regiji i šire kao i u promicanju pozitivnih životnih stilova.</w:t>
      </w:r>
      <w:r>
        <w:t xml:space="preserve"> </w:t>
      </w:r>
      <w:r w:rsidRPr="007B66D5">
        <w:t>Misija POU je i putem cjeloživotnih obrazovnih programa djelovati na podizanje općeg znanja u zajednici u znanjima i vještinama aktualnim u današnjici, kako bi se potpomogao opći napredak naše zajednice prema novim izazovima suvremenoga svijeta te svijetu humanih vrijednosti.</w:t>
      </w:r>
    </w:p>
    <w:p w:rsidR="00BA6CD7" w:rsidRPr="007B66D5" w:rsidRDefault="00BA6CD7" w:rsidP="00BA6CD7">
      <w:pPr>
        <w:autoSpaceDE w:val="0"/>
        <w:autoSpaceDN w:val="0"/>
        <w:adjustRightInd w:val="0"/>
        <w:spacing w:line="360" w:lineRule="auto"/>
      </w:pPr>
      <w:r w:rsidRPr="007B66D5">
        <w:t xml:space="preserve">U Strategiji POU Samobor su navedeni sljedeći </w:t>
      </w:r>
      <w:r w:rsidRPr="007B66D5">
        <w:rPr>
          <w:b/>
        </w:rPr>
        <w:t>opći ciljevi</w:t>
      </w:r>
      <w:r w:rsidRPr="007B66D5">
        <w:t>:</w:t>
      </w:r>
    </w:p>
    <w:p w:rsidR="00BA6CD7" w:rsidRPr="007B66D5" w:rsidRDefault="00BA6CD7" w:rsidP="00BA6C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7B66D5">
        <w:rPr>
          <w:sz w:val="22"/>
          <w:szCs w:val="22"/>
        </w:rPr>
        <w:t>Razvoj kulturne djelatnosti: Osuvremenjivanje postojećih programa te razvijanje novih umjetničkih programa kojima će se privući dodatna publika, posebice mladi.</w:t>
      </w:r>
    </w:p>
    <w:p w:rsidR="00BA6CD7" w:rsidRPr="007B66D5" w:rsidRDefault="00BA6CD7" w:rsidP="00BA6C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7B66D5">
        <w:rPr>
          <w:sz w:val="22"/>
          <w:szCs w:val="22"/>
        </w:rPr>
        <w:t>Razvoj obrazovne djelatnosti: Sudjelovanje u procesu podizanja razine obrazovanja i kompetencija kako pojedinca tako i zajednice u cjelini.</w:t>
      </w:r>
    </w:p>
    <w:p w:rsidR="00BA6CD7" w:rsidRPr="007B66D5" w:rsidRDefault="00BA6CD7" w:rsidP="00BA6C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7B66D5">
        <w:rPr>
          <w:sz w:val="22"/>
          <w:szCs w:val="22"/>
        </w:rPr>
        <w:t>Razvoj i jačanje organizacije: Razvijanje ljudskih resursa, ali i prisutnosti kulturnih i obrazovnih programa u svakodnevnom životu zajednice.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701"/>
        <w:gridCol w:w="7361"/>
      </w:tblGrid>
      <w:tr w:rsidR="00BA6CD7" w:rsidRPr="007E0149" w:rsidTr="00EA226F">
        <w:tc>
          <w:tcPr>
            <w:tcW w:w="9286" w:type="dxa"/>
            <w:gridSpan w:val="2"/>
            <w:shd w:val="clear" w:color="auto" w:fill="C0C0C0"/>
          </w:tcPr>
          <w:p w:rsidR="00BA6CD7" w:rsidRPr="007E0149" w:rsidRDefault="00BA6CD7" w:rsidP="00EA226F">
            <w:pPr>
              <w:pStyle w:val="NormalWeb"/>
            </w:pPr>
            <w:r w:rsidRPr="005C0F9B">
              <w:rPr>
                <w:sz w:val="22"/>
              </w:rPr>
              <w:t>2) OBRAZLOŽENJE PROGRAMA IZ PRORAČUNA/FIN. PLANA</w:t>
            </w:r>
          </w:p>
        </w:tc>
      </w:tr>
      <w:tr w:rsidR="00BA6CD7" w:rsidRPr="007E0149" w:rsidTr="00EA226F">
        <w:tblPrEx>
          <w:shd w:val="clear" w:color="auto" w:fill="auto"/>
        </w:tblPrEx>
        <w:trPr>
          <w:trHeight w:val="850"/>
        </w:trPr>
        <w:tc>
          <w:tcPr>
            <w:tcW w:w="1908" w:type="dxa"/>
          </w:tcPr>
          <w:p w:rsidR="00BA6CD7" w:rsidRPr="007E0149" w:rsidRDefault="00BA6CD7" w:rsidP="00EA226F">
            <w:pPr>
              <w:autoSpaceDE w:val="0"/>
              <w:autoSpaceDN w:val="0"/>
              <w:adjustRightInd w:val="0"/>
            </w:pPr>
            <w:r w:rsidRPr="007B66D5">
              <w:t>Opis programa:</w:t>
            </w:r>
          </w:p>
        </w:tc>
        <w:tc>
          <w:tcPr>
            <w:tcW w:w="7378" w:type="dxa"/>
          </w:tcPr>
          <w:p w:rsidR="00BA6CD7" w:rsidRPr="007B66D5" w:rsidRDefault="00BA6CD7" w:rsidP="00EA226F">
            <w:pPr>
              <w:autoSpaceDE w:val="0"/>
              <w:autoSpaceDN w:val="0"/>
              <w:adjustRightInd w:val="0"/>
            </w:pPr>
            <w:r w:rsidRPr="007B66D5">
              <w:t>Financijskim planom sredstva su planirana za provođenje programa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</w:pPr>
            <w:r w:rsidRPr="007B66D5">
              <w:t>P40 4040 JAVNE POTREBE U KULTURI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after="240"/>
            </w:pPr>
            <w:r w:rsidRPr="007B66D5">
              <w:t>Ovaj program provodit će se kroz sljedeće aktivnosti i projekte:</w:t>
            </w:r>
          </w:p>
          <w:tbl>
            <w:tblPr>
              <w:tblW w:w="70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2308"/>
              <w:gridCol w:w="1153"/>
              <w:gridCol w:w="1027"/>
              <w:gridCol w:w="1030"/>
              <w:gridCol w:w="957"/>
            </w:tblGrid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2020 Plan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A6CD7" w:rsidRDefault="00BA6CD7" w:rsidP="00EA22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F73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2020 </w:t>
                  </w:r>
                </w:p>
                <w:p w:rsidR="00BA6CD7" w:rsidRPr="002F7379" w:rsidRDefault="00BA6CD7" w:rsidP="00EA22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F73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I. rebalans</w:t>
                  </w:r>
                </w:p>
              </w:tc>
              <w:tc>
                <w:tcPr>
                  <w:tcW w:w="10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A6CD7" w:rsidRDefault="00BA6CD7" w:rsidP="00EA22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F73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2020 </w:t>
                  </w:r>
                </w:p>
                <w:p w:rsidR="00BA6CD7" w:rsidRPr="002F7379" w:rsidRDefault="00BA6CD7" w:rsidP="00EA22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F73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II.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F73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rebalans</w:t>
                  </w:r>
                </w:p>
              </w:tc>
              <w:tc>
                <w:tcPr>
                  <w:tcW w:w="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2F7379" w:rsidRDefault="00BA6CD7" w:rsidP="00EA22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F73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2020</w:t>
                  </w:r>
                </w:p>
                <w:p w:rsidR="00BA6CD7" w:rsidRPr="002F7379" w:rsidRDefault="00BA6CD7" w:rsidP="00EA22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F73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III.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F737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rebalans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Redovna djelatnost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3.395.073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3.226.073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3.277.073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3.314.172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Samoborska glazbena jesen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727.800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722.800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468.000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518.000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Galerija Prica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155.000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135.000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102.500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131.000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Posebni programi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288.400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263.400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304.900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212.900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4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06286D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Stručno osposobljavanje bez zasnivanja radnog odnosa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19.900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19.900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9.000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Centar za mlade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1.060.050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854.050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791.450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714.575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7.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Kino-prikazivačka djelatnost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311.200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311.200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334.480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389.980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06286D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Obrazovanje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329.000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329.000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262.000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330.915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Oprema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185.000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185.000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320.703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289.003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Oprema za Centar za mlade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55.000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55.000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20.000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25.000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Gastro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klub za pametno zapošljavanje (EU projekt)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259.215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259.215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752.040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808.787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12. 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Zajedno možemo naprijed (EU projekt)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172.000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172.000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172.000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124.370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Mjesto za nas (EU projekt)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393.797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393.797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422.500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465.587</w:t>
                  </w:r>
                </w:p>
              </w:tc>
            </w:tr>
            <w:tr w:rsidR="00BA6CD7" w:rsidRPr="0006286D" w:rsidTr="00EA226F">
              <w:trPr>
                <w:trHeight w:val="22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Default="00BA6CD7" w:rsidP="00EA226F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7B66D5" w:rsidRDefault="00BA6CD7" w:rsidP="00EA22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B66D5">
                    <w:rPr>
                      <w:rFonts w:ascii="Arial" w:hAnsi="Arial" w:cs="Arial"/>
                      <w:b/>
                      <w:sz w:val="18"/>
                      <w:szCs w:val="18"/>
                    </w:rPr>
                    <w:t>UKUPNO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7B66D5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7.351.435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6.926.435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7.236.646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7.333.289</w:t>
                  </w:r>
                </w:p>
              </w:tc>
            </w:tr>
          </w:tbl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 w:rsidRPr="007B66D5">
              <w:rPr>
                <w:b/>
              </w:rPr>
              <w:t>A404001 Redovna djelatnost</w:t>
            </w:r>
          </w:p>
          <w:p w:rsidR="00BA6CD7" w:rsidRDefault="00BA6CD7" w:rsidP="00EA226F">
            <w:pPr>
              <w:tabs>
                <w:tab w:val="left" w:pos="2370"/>
              </w:tabs>
              <w:autoSpaceDE w:val="0"/>
              <w:autoSpaceDN w:val="0"/>
              <w:adjustRightInd w:val="0"/>
              <w:jc w:val="both"/>
            </w:pPr>
            <w:r w:rsidRPr="007B66D5">
              <w:t>plaće za redovan rad; plaće za prekovremeni rad; ostali rashodi za zaposlene; doprinosi za zdravstveno osiguranje; naknade za prijevoz na posao i s posla; uredski materijal i ostali materijalni rashodi; energija; materijal i dijelovi za tek. i invest</w:t>
            </w:r>
            <w:r>
              <w:t>icijsko</w:t>
            </w:r>
            <w:r w:rsidRPr="007B66D5">
              <w:t xml:space="preserve"> održavanje; zaštitna odjeća i obuća; usluge tekućeg i investicijskog održavanja; usluge promidžbe i informiranja; zakupnine i najamnine; </w:t>
            </w:r>
            <w:r>
              <w:t xml:space="preserve">obavezni i preventivni zdravstveni pregled zaposlenika; </w:t>
            </w:r>
            <w:r w:rsidRPr="007B66D5">
              <w:t xml:space="preserve">intelektualne i osobne usluge; ostale usluge (čuvanje imovine); reprezentacija; </w:t>
            </w:r>
            <w:r>
              <w:t>ostale usluge</w:t>
            </w:r>
            <w:r w:rsidRPr="007B66D5">
              <w:t xml:space="preserve">; službena putovanja;  stručno usavršavanje zaposlenika; usluge telefona, pošte i prijevoza; komunalne usluge; licence za software; </w:t>
            </w:r>
            <w:r>
              <w:t>računalne usluge;  naknade za rad U</w:t>
            </w:r>
            <w:r w:rsidRPr="007B66D5">
              <w:t>pravnog vijeća; premije osiguranja; članarine;</w:t>
            </w:r>
            <w:r>
              <w:t xml:space="preserve"> pristojbe i naknade;</w:t>
            </w:r>
            <w:r w:rsidRPr="007B66D5">
              <w:t xml:space="preserve"> ostali nespomenuti rashodi poslovanja; bankarske usluge i usluge platnog prometa; zatezne kamate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 w:rsidRPr="007B66D5">
              <w:rPr>
                <w:b/>
              </w:rPr>
              <w:t>A40400</w:t>
            </w:r>
            <w:r>
              <w:rPr>
                <w:b/>
              </w:rPr>
              <w:t>7</w:t>
            </w:r>
            <w:r w:rsidRPr="007B66D5">
              <w:rPr>
                <w:b/>
              </w:rPr>
              <w:t xml:space="preserve"> Samoborska glazben jesen</w:t>
            </w:r>
          </w:p>
          <w:p w:rsidR="00BA6CD7" w:rsidRDefault="00BA6CD7" w:rsidP="00EA226F">
            <w:pPr>
              <w:autoSpaceDE w:val="0"/>
              <w:autoSpaceDN w:val="0"/>
              <w:adjustRightInd w:val="0"/>
              <w:jc w:val="both"/>
            </w:pPr>
            <w:r w:rsidRPr="007B66D5">
              <w:t>usluge promidžbe i informiranja; zakupnine i najamnine; intelektualne i osobne usluge; ostale usluge; reprezentacija; ostali nesp</w:t>
            </w:r>
            <w:r>
              <w:t>omenuti</w:t>
            </w:r>
            <w:r w:rsidRPr="007B66D5">
              <w:t xml:space="preserve"> rashodi poslovanja; nagrade natjecateljima; službena putovanja; uredski materijal; usluge telefona, pošte i prijevoza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 w:rsidRPr="007B66D5">
              <w:rPr>
                <w:b/>
              </w:rPr>
              <w:t>A404009 Galerija Prica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jc w:val="both"/>
            </w:pPr>
            <w:r w:rsidRPr="007B66D5">
              <w:t>uredski materijal i ostali mat. rashodi; usluge telefona, pošte i prijevoza; usluge promidžbe i informiranja; intelektualne i osobne usluge; ostale usluge; službena putovanja; stručno usavršavanje zaposlenika; reprezentacija; umjetnička djela; premija osiguranja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</w:pP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rPr>
                <w:b/>
              </w:rPr>
            </w:pPr>
            <w:r w:rsidRPr="007B66D5">
              <w:rPr>
                <w:b/>
              </w:rPr>
              <w:t>A404010 Posebni programi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</w:pPr>
            <w:r w:rsidRPr="007B66D5">
              <w:lastRenderedPageBreak/>
              <w:t>usluge telefona, pošte i prijevoza; službena putovanja; usluge promidžbe i informiranja; zakupnine i najamnine; intelektualne i osobne usluge; ostale usluge; reprezentacija; uredski materijal i ostali materijalni rashodi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 w:rsidRPr="007B66D5">
              <w:rPr>
                <w:b/>
              </w:rPr>
              <w:t>A404017 Stručno osposobljavanje za rad bez zasnivanja radnog odnosa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jc w:val="both"/>
            </w:pPr>
            <w:r w:rsidRPr="007B66D5">
              <w:t>naknade troškova za st</w:t>
            </w:r>
            <w:r>
              <w:t>ručno osposobljavanje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 w:rsidRPr="007B66D5">
              <w:rPr>
                <w:b/>
              </w:rPr>
              <w:t>A404019 Centar za mlade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jc w:val="both"/>
            </w:pPr>
            <w:r w:rsidRPr="007B66D5">
              <w:t xml:space="preserve">uredski materijal i ostali materijalni rashodi; energija; materijal i dijelovi za tekuće i investicijsko održavanje; usluge telefona, pošte i prijevoza; usluge tekućeg i investicijskog održavanja; usluge promidžbe i informiranja; komunalne usluge; zakupnine i najamnine; licence za software; </w:t>
            </w:r>
            <w:r>
              <w:t xml:space="preserve">licence; </w:t>
            </w:r>
            <w:r w:rsidRPr="007B66D5">
              <w:t>intelektualne i osobne usluge; ostale usluge; premije osiguranja; reprezentacija; ostali nespomenuti rashodi poslovanja</w:t>
            </w:r>
            <w:r>
              <w:t>; stručno usavršavanje zaposlenika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 w:rsidRPr="007B66D5">
              <w:rPr>
                <w:b/>
              </w:rPr>
              <w:t>A404020 Kino</w:t>
            </w:r>
            <w:r>
              <w:rPr>
                <w:b/>
              </w:rPr>
              <w:t>-</w:t>
            </w:r>
            <w:r w:rsidRPr="007B66D5">
              <w:rPr>
                <w:b/>
              </w:rPr>
              <w:t>prikazivačka djelatnost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jc w:val="both"/>
            </w:pPr>
            <w:r w:rsidRPr="007B66D5">
              <w:t>usluge telefona, pošte i prijevoza; zakupnine i najamnine; službena putovanja; stručno usavršavanje zaposlenika; uredski materijal i ostali materijalni rashodi; usluge promidžbe i informiranja; intelektualne i osobne usluge; ostale usluge; reprezentacija; članarine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 w:rsidRPr="007B66D5">
              <w:rPr>
                <w:b/>
              </w:rPr>
              <w:t>A4004021 Obrazovanje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jc w:val="both"/>
            </w:pPr>
            <w:r w:rsidRPr="007B66D5">
              <w:t>uredski materijal i ostali materijalni rashodi; usluge telefona, pošte i prijevoza; usluge promidžbe i informiranja; službena putovanja; stručno usavršavanje zaposlenika; intelektualne i osobne usluge; ostale usluge; reprezentacija; ostali nespomenuti rashodi poslovanja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 w:rsidRPr="007B66D5">
              <w:rPr>
                <w:b/>
              </w:rPr>
              <w:t>K404002 Oprema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jc w:val="both"/>
            </w:pPr>
            <w:r w:rsidRPr="007B66D5">
              <w:t>Oprema; oprema za održavanje i za</w:t>
            </w:r>
            <w:r>
              <w:t>štitu; oprema za ostale namjene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 w:rsidRPr="007B66D5">
              <w:rPr>
                <w:b/>
              </w:rPr>
              <w:t>K404003 Oprema za Centar za mlade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jc w:val="both"/>
            </w:pPr>
            <w:r w:rsidRPr="007B66D5">
              <w:t>Oprema</w:t>
            </w:r>
            <w:r>
              <w:t>; Komunikacijska oprema; Sportska i glazbena oprema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 w:rsidRPr="007B66D5">
              <w:rPr>
                <w:b/>
              </w:rPr>
              <w:t xml:space="preserve">T404001 </w:t>
            </w:r>
            <w:proofErr w:type="spellStart"/>
            <w:r w:rsidRPr="007B66D5">
              <w:rPr>
                <w:b/>
              </w:rPr>
              <w:t>Gastro</w:t>
            </w:r>
            <w:proofErr w:type="spellEnd"/>
            <w:r w:rsidRPr="007B66D5">
              <w:rPr>
                <w:b/>
              </w:rPr>
              <w:t xml:space="preserve"> klub za pametno zapošljavanje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jc w:val="both"/>
            </w:pPr>
            <w:r w:rsidRPr="007B66D5">
              <w:t xml:space="preserve">uredski materijal i ostali materijalni rashodi; </w:t>
            </w:r>
            <w:r>
              <w:t xml:space="preserve">materijal i sirovine; energija; </w:t>
            </w:r>
            <w:r w:rsidRPr="007B66D5">
              <w:t>usluge promidžbe i informiranja; intelektualne i osobne usluge; reprez</w:t>
            </w:r>
            <w:r>
              <w:t>entacija; ostale usluge;</w:t>
            </w:r>
            <w:r w:rsidRPr="007B66D5">
              <w:t xml:space="preserve"> usl</w:t>
            </w:r>
            <w:r>
              <w:t>uge telefona, pošte i prijevoza; zdravstvene i veterinarske usluge; kapitalne pomoći proračunskim korisnicima drugih proračuna; kapitalne pomoći temeljem prijenosa EU sredstava; naknade građanima (prijevoz, službena odjeća); tekuće donacije; tekuće donacije iz EU sredstava</w:t>
            </w:r>
          </w:p>
          <w:p w:rsidR="00BA6CD7" w:rsidRPr="007B66D5" w:rsidRDefault="00BA6CD7" w:rsidP="00EA226F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  <w:r>
              <w:rPr>
                <w:b/>
              </w:rPr>
              <w:t>T409502</w:t>
            </w:r>
            <w:r w:rsidRPr="007B66D5">
              <w:rPr>
                <w:b/>
              </w:rPr>
              <w:t xml:space="preserve"> Zajedno možemo naprijed</w:t>
            </w:r>
          </w:p>
          <w:p w:rsidR="00BA6CD7" w:rsidRDefault="00BA6CD7" w:rsidP="00EA226F">
            <w:pPr>
              <w:autoSpaceDE w:val="0"/>
              <w:autoSpaceDN w:val="0"/>
              <w:adjustRightInd w:val="0"/>
              <w:jc w:val="both"/>
            </w:pPr>
            <w:r w:rsidRPr="007B66D5">
              <w:t>intele</w:t>
            </w:r>
            <w:r>
              <w:t>ktualne i osobne usluge; reprezentacija; usluge telefona, pošte i prijevoza; uredski materijal i ostali materijalni rashodi</w:t>
            </w:r>
          </w:p>
          <w:p w:rsidR="00BA6CD7" w:rsidRDefault="00BA6CD7" w:rsidP="00EA226F">
            <w:pPr>
              <w:autoSpaceDE w:val="0"/>
              <w:autoSpaceDN w:val="0"/>
              <w:adjustRightInd w:val="0"/>
              <w:jc w:val="both"/>
            </w:pPr>
          </w:p>
          <w:p w:rsidR="00BA6CD7" w:rsidRPr="008B4E24" w:rsidRDefault="00BA6CD7" w:rsidP="00EA22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30B1">
              <w:rPr>
                <w:b/>
              </w:rPr>
              <w:t>T404002</w:t>
            </w:r>
            <w:r>
              <w:rPr>
                <w:b/>
              </w:rPr>
              <w:t xml:space="preserve">  </w:t>
            </w:r>
            <w:r w:rsidRPr="008B4E24">
              <w:rPr>
                <w:b/>
              </w:rPr>
              <w:t>Mjesto za nas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  <w:jc w:val="both"/>
            </w:pPr>
            <w:r>
              <w:t xml:space="preserve">plaće za redovan rad; doprinosi za zdravstveno osiguranje; naknada za prijevoz </w:t>
            </w:r>
            <w:proofErr w:type="spellStart"/>
            <w:r>
              <w:t>ns</w:t>
            </w:r>
            <w:proofErr w:type="spellEnd"/>
            <w:r>
              <w:t xml:space="preserve"> posao i s posla; uredski materijali i ostali materijalni rashodi; energija; materijal i sirovine; usluge telefona, pošte i prijevoza; usluge promidžbe i informiranja; zakupnine i najamnine; zdravstvene i veterinarske usluge; intelektualne i osobne usluge; ostale usluge; reprezentacija; subvencije obrtnicima; subvencije obrtnicima iz EU sredstava; naknada građanima (prijevoz, službena odjeća); uredska oprema i namještaj</w:t>
            </w:r>
          </w:p>
        </w:tc>
      </w:tr>
    </w:tbl>
    <w:p w:rsidR="00BA6CD7" w:rsidRPr="00CC7AB2" w:rsidRDefault="00BA6CD7" w:rsidP="00BA6CD7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62"/>
      </w:tblGrid>
      <w:tr w:rsidR="00BA6CD7" w:rsidRPr="007E0149" w:rsidTr="00EA226F">
        <w:tc>
          <w:tcPr>
            <w:tcW w:w="9286" w:type="dxa"/>
            <w:shd w:val="clear" w:color="auto" w:fill="C0C0C0"/>
          </w:tcPr>
          <w:p w:rsidR="00BA6CD7" w:rsidRPr="007E0149" w:rsidRDefault="00BA6CD7" w:rsidP="00EA226F">
            <w:pPr>
              <w:pStyle w:val="NormalWeb"/>
            </w:pPr>
            <w:r w:rsidRPr="005C0F9B">
              <w:rPr>
                <w:sz w:val="22"/>
              </w:rPr>
              <w:t>3) ZAKONSKE I DRUGE PODLOGE NA KOJIMA SE ZASNIVAJU PROGRAMI</w:t>
            </w:r>
          </w:p>
        </w:tc>
      </w:tr>
    </w:tbl>
    <w:p w:rsidR="00BA6CD7" w:rsidRPr="007E0149" w:rsidRDefault="00BA6CD7" w:rsidP="00BA6CD7">
      <w:pPr>
        <w:pStyle w:val="NormalWeb"/>
        <w:spacing w:before="0" w:beforeAutospacing="0" w:after="0" w:afterAutospacing="0"/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6866"/>
      </w:tblGrid>
      <w:tr w:rsidR="00BA6CD7" w:rsidRPr="00CC7AB2" w:rsidTr="00EA226F">
        <w:trPr>
          <w:trHeight w:val="1500"/>
        </w:trPr>
        <w:tc>
          <w:tcPr>
            <w:tcW w:w="2426" w:type="dxa"/>
          </w:tcPr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Zakonska osnova:</w:t>
            </w:r>
          </w:p>
        </w:tc>
        <w:tc>
          <w:tcPr>
            <w:tcW w:w="6866" w:type="dxa"/>
          </w:tcPr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 xml:space="preserve">Zakon o lokalnoj i područnoj (regionalnoj) samoupravi (NN 33/01, 60/01, 129/05, 109,07, 125/08 36/09, 150/11,  144/12, 19/13, 137/15, 123/17), 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 xml:space="preserve">Zakon o financiranju javnih potreba u kulturi (NN 47/90, 27/93 i 38/09), 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 xml:space="preserve">Zakon o proračunu (NN 87/08, 136/12, 15/15), 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</w:t>
            </w:r>
            <w:r>
              <w:t>kon o javnoj nabavi (NN 120/16)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Galerija: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>
              <w:t xml:space="preserve">Zakon o muzejima (NN 61/18, </w:t>
            </w:r>
            <w:r w:rsidRPr="00EB56DA">
              <w:t>98/19</w:t>
            </w:r>
            <w:r w:rsidRPr="00CC7AB2">
              <w:t>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očevidniku muzeja, te muzeja, galerija i zbirki unutar ustanova i drugih pravnih osoba (NN 96/99)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uvjetima i načinu ostvarivanja uvida u muzejsku građu i muzejsku dokumentaciju (NN 115/01)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sadržaju i načinu vođenja muzejske dokumentacije o muzejskoj građi (NN 108/02)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načinu i mjerilima za povezivanje u sustav muzeja Republike Hrvatske (NN 120/02, NN 82/06)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stručnim i tehničkim standardima za određivanje vrste muzeja, za njihov rad, te za smještaj muzejske građe i muzejske dokumentacije (NN 30/06)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 xml:space="preserve">Pravilnik o uvjetima i načinu stjecanja stručnih zvanja u muzejskoj struci (NN 97/10, NN 112/11) 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 o zaštiti i očuvanju kulturnih dobara (NN 69/99, NN 151/03, NN 157/03, ispravak NN 100/04, NN 87/09, NN 88/10, NN 61/11, NN 25/12, NN 136/12, NN 157/13, NN 152/14 , NN 98/15, NN 44/17, NN 90/18)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Međunarodni pravni propisi: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Konvencija o međunarodnim izložbama (NN-MU 15/02, 10/03)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lastRenderedPageBreak/>
              <w:t>Kultura: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 xml:space="preserve">Pravilnik o postupku, kriterijima i rokovima za provedbu Nacionalnog programa promicanja audiovizualnog stvaralaštva NN 144/2014    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 xml:space="preserve">Pravilnik o poticanju ulaganja u proizvodnju audiovizualnih djela NN 3/2015   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Odluka o objavljivanju pravila o državnoj potpori kinematografskoj i ostaloj audiovizualnoj djelatnosti (NN 46/08, NN 144/2011)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 o potvrđivanju Europske konvencije za zaštitu audiovizualne baštine (NN-MU 5/07) - ovo više ne postoji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 o audiovizualnim djelatnostima (NN 61/2018)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izboru i utvrđivanju programa javnih potreba u kulturi (NN 55/16)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registru umjetničkih organizacija (NN 53/96, NN 57/09)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 xml:space="preserve">Pravilnik o postupku i uvjetima za priznavanje prava samostalnih umjetnika na uplatu doprinosa za mirovinsko i invalidsko te zdravstveno osiguranje iz sredstava proračuna </w:t>
            </w:r>
            <w:r>
              <w:t>Republike Hrvatske (NN 91/2015)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Kazalište: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 o kazalištima (NN 71/06, 121/13, 26/14)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 o autorskom pravu i srodnim pravima (NN 167/03, 79/07, 80/11, 125/11, 141/13, 127/14, 62/17, 96/18)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Obrazovanje: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 o obrazovanju odraslih (NN 17/07, 24/10)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javnim ispravama u obrazovanju odraslih (NN 129/08, 50/10)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standardima i normativima te načinu i postupku utvrđivanja ispunjenosti uvjeta u ustanovama za obrazovanje odraslih (NN 129/08)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sadržaju, obliku te načinu vođenja i čuvanja andragoške dokumentacije (NN 129/08)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evidencijama u obrazovanju odraslih (NN 129/08)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izmjenama i dopunama Pravilnika o javnim ispravama u obrazovanju odraslih (NN 50/10)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izmjeni pravilnika o standardima i normativima te načinu i postupku utvrđivanja ispunjenosti uvjeta u ustanovama za obrazovanje odraslih (NN 52/10)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 o državnoj potpori za obrazovanje i izobrazbu  (NN 109/07, 134/07, 152/08, 14/14)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 o pučkim otvorenim učilištima (NN 54/97, 5/98, 109/99, 139/10)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lastRenderedPageBreak/>
              <w:t>Zakon o ustanovama (NN 76/93, 29/97, 47/99, 35/08)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 o odgoju i obrazovanju u osnovnoj i srednjoj školi (NN 87/08, 86/09, 92/10, 105/10, 90/11, 5/12, 16/12, 86/12, 126/12, 94/13, 152/14, 07/17, 68/18)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Ostalo: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Zakon o arhivskom gradivu i arhivima (NN 61/18)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 xml:space="preserve">Pravilnik o zaštiti i čuvanju arhivskog i </w:t>
            </w:r>
            <w:proofErr w:type="spellStart"/>
            <w:r w:rsidRPr="00CC7AB2">
              <w:t>registraturnog</w:t>
            </w:r>
            <w:proofErr w:type="spellEnd"/>
            <w:r w:rsidRPr="00CC7AB2">
              <w:t xml:space="preserve"> gradiva izvan arhiva (NN 63/04,106/07)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stručnom osposobljavanju i provjeri stručne osposobljenosti djelatnika u pismohranama (NN 93/04)</w:t>
            </w:r>
          </w:p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Pravilnik o vrednovanju te postupku odabiranja i izlučivanja arhivskog gradiva (NN 90/02)</w:t>
            </w:r>
          </w:p>
        </w:tc>
      </w:tr>
    </w:tbl>
    <w:p w:rsidR="00BA6CD7" w:rsidRPr="00CC7AB2" w:rsidRDefault="00BA6CD7" w:rsidP="00BA6CD7">
      <w:pPr>
        <w:autoSpaceDE w:val="0"/>
        <w:autoSpaceDN w:val="0"/>
        <w:adjustRightInd w:val="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875"/>
        <w:gridCol w:w="7476"/>
      </w:tblGrid>
      <w:tr w:rsidR="00BA6CD7" w:rsidRPr="00CC7AB2" w:rsidTr="00EA226F">
        <w:tc>
          <w:tcPr>
            <w:tcW w:w="9351" w:type="dxa"/>
            <w:gridSpan w:val="2"/>
            <w:shd w:val="clear" w:color="auto" w:fill="C0C0C0"/>
          </w:tcPr>
          <w:p w:rsidR="00BA6CD7" w:rsidRPr="00CC7AB2" w:rsidRDefault="00BA6CD7" w:rsidP="00EA226F">
            <w:pPr>
              <w:pStyle w:val="NormalWeb"/>
              <w:rPr>
                <w:sz w:val="22"/>
              </w:rPr>
            </w:pPr>
            <w:r w:rsidRPr="00CC7AB2">
              <w:rPr>
                <w:sz w:val="22"/>
              </w:rPr>
              <w:t xml:space="preserve">4) USKLAĐENE CILJEVE, STRATEGIJU I PROGRAME S DOKUMENTIMA DUGOROČNOG RAZVOJA </w:t>
            </w:r>
          </w:p>
        </w:tc>
      </w:tr>
      <w:tr w:rsidR="00BA6CD7" w:rsidRPr="00CC7AB2" w:rsidTr="00EA226F">
        <w:tblPrEx>
          <w:shd w:val="clear" w:color="auto" w:fill="auto"/>
        </w:tblPrEx>
        <w:tc>
          <w:tcPr>
            <w:tcW w:w="1875" w:type="dxa"/>
          </w:tcPr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Opći cilj:</w:t>
            </w:r>
          </w:p>
        </w:tc>
        <w:tc>
          <w:tcPr>
            <w:tcW w:w="7476" w:type="dxa"/>
            <w:vAlign w:val="bottom"/>
          </w:tcPr>
          <w:p w:rsidR="00BA6CD7" w:rsidRPr="00CC7AB2" w:rsidRDefault="00BA6CD7" w:rsidP="00EA226F">
            <w:r w:rsidRPr="00CC7AB2">
              <w:t>Odnosi se na strateške ciljeve Grada utvrđene u Strateškom programu razvoja Grada Samobora 2013.-2020. (Službene vijesti Grada Samobora 3/13):</w:t>
            </w:r>
          </w:p>
          <w:p w:rsidR="00BA6CD7" w:rsidRPr="00CC7AB2" w:rsidRDefault="00BA6CD7" w:rsidP="00EA226F">
            <w:r w:rsidRPr="00CC7AB2">
              <w:t>II. Ciljevi razvoja društvenih dje</w:t>
            </w:r>
            <w:r>
              <w:t>latnosti</w:t>
            </w:r>
          </w:p>
          <w:p w:rsidR="00BA6CD7" w:rsidRPr="00CC7AB2" w:rsidRDefault="00BA6CD7" w:rsidP="00EA226F">
            <w:pPr>
              <w:spacing w:before="240"/>
              <w:rPr>
                <w:i/>
              </w:rPr>
            </w:pPr>
            <w:r w:rsidRPr="00CC7AB2">
              <w:rPr>
                <w:i/>
              </w:rPr>
              <w:t>Vertikalna usklađenja ciljeva i programa u Proračunu Grada Samobora i razvojne strategije Grada Samobora još nisu provedena, zato odgovor na ovu točku predstavlja samo pokušaj da se ciljevi i programi Pučkog otvorenog učilišta (kao proračunskog korisnika Grada Samobora) usklade sa trenutno važećim dokumentom „Strateški program razvoja Grada Samobora 2013-2020“.</w:t>
            </w:r>
          </w:p>
        </w:tc>
      </w:tr>
      <w:tr w:rsidR="00BA6CD7" w:rsidRPr="00CC7AB2" w:rsidTr="00EA226F">
        <w:tblPrEx>
          <w:shd w:val="clear" w:color="auto" w:fill="auto"/>
        </w:tblPrEx>
        <w:tc>
          <w:tcPr>
            <w:tcW w:w="1875" w:type="dxa"/>
          </w:tcPr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Posebni cilj:</w:t>
            </w:r>
          </w:p>
        </w:tc>
        <w:tc>
          <w:tcPr>
            <w:tcW w:w="7476" w:type="dxa"/>
            <w:vAlign w:val="bottom"/>
          </w:tcPr>
          <w:p w:rsidR="00BA6CD7" w:rsidRPr="00CC7AB2" w:rsidRDefault="00BA6CD7" w:rsidP="00EA226F">
            <w:pPr>
              <w:autoSpaceDE w:val="0"/>
              <w:autoSpaceDN w:val="0"/>
              <w:adjustRightInd w:val="0"/>
            </w:pPr>
            <w:r w:rsidRPr="00CC7AB2">
              <w:t>Ciljevi razvoja društvenih djelatnosti:</w:t>
            </w:r>
          </w:p>
          <w:p w:rsidR="00BA6CD7" w:rsidRPr="00CC7AB2" w:rsidRDefault="00BA6CD7" w:rsidP="00EA22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2" w:hanging="282"/>
              <w:rPr>
                <w:sz w:val="22"/>
              </w:rPr>
            </w:pPr>
            <w:r w:rsidRPr="00CC7AB2">
              <w:rPr>
                <w:sz w:val="22"/>
              </w:rPr>
              <w:t>Ustanove društvenih djelatnosti posluju racionalno i uspješno minimiziraju troškove</w:t>
            </w:r>
          </w:p>
          <w:p w:rsidR="00BA6CD7" w:rsidRPr="00CC7AB2" w:rsidRDefault="00BA6CD7" w:rsidP="00EA226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2" w:hanging="282"/>
              <w:rPr>
                <w:sz w:val="22"/>
              </w:rPr>
            </w:pPr>
            <w:r w:rsidRPr="00CC7AB2">
              <w:rPr>
                <w:sz w:val="22"/>
              </w:rPr>
              <w:t>Prostori za kulturne djelatnosti primjereni su i dostatni za daljnji razvoj</w:t>
            </w:r>
          </w:p>
        </w:tc>
      </w:tr>
    </w:tbl>
    <w:p w:rsidR="00BA6CD7" w:rsidRDefault="00BA6CD7" w:rsidP="00BA6CD7">
      <w:pPr>
        <w:autoSpaceDE w:val="0"/>
        <w:autoSpaceDN w:val="0"/>
        <w:adjustRightInd w:val="0"/>
        <w:jc w:val="both"/>
      </w:pPr>
    </w:p>
    <w:p w:rsidR="00BA6CD7" w:rsidRDefault="00BA6CD7" w:rsidP="00BA6CD7">
      <w:pPr>
        <w:autoSpaceDE w:val="0"/>
        <w:autoSpaceDN w:val="0"/>
        <w:adjustRightInd w:val="0"/>
        <w:jc w:val="both"/>
      </w:pPr>
    </w:p>
    <w:p w:rsidR="00BA6CD7" w:rsidRDefault="00BA6CD7" w:rsidP="00BA6CD7">
      <w:pPr>
        <w:autoSpaceDE w:val="0"/>
        <w:autoSpaceDN w:val="0"/>
        <w:adjustRightInd w:val="0"/>
        <w:jc w:val="both"/>
      </w:pPr>
    </w:p>
    <w:p w:rsidR="00BA6CD7" w:rsidRDefault="00BA6CD7" w:rsidP="00BA6CD7">
      <w:pPr>
        <w:autoSpaceDE w:val="0"/>
        <w:autoSpaceDN w:val="0"/>
        <w:adjustRightInd w:val="0"/>
        <w:jc w:val="both"/>
      </w:pPr>
    </w:p>
    <w:p w:rsidR="00BA6CD7" w:rsidRDefault="00BA6CD7" w:rsidP="00BA6CD7">
      <w:pPr>
        <w:autoSpaceDE w:val="0"/>
        <w:autoSpaceDN w:val="0"/>
        <w:adjustRightInd w:val="0"/>
        <w:jc w:val="both"/>
      </w:pPr>
    </w:p>
    <w:p w:rsidR="00BA6CD7" w:rsidRDefault="00BA6CD7" w:rsidP="00BA6CD7">
      <w:pPr>
        <w:autoSpaceDE w:val="0"/>
        <w:autoSpaceDN w:val="0"/>
        <w:adjustRightInd w:val="0"/>
        <w:jc w:val="both"/>
      </w:pPr>
    </w:p>
    <w:p w:rsidR="00BA6CD7" w:rsidRDefault="00BA6CD7" w:rsidP="00BA6CD7">
      <w:pPr>
        <w:autoSpaceDE w:val="0"/>
        <w:autoSpaceDN w:val="0"/>
        <w:adjustRightInd w:val="0"/>
        <w:jc w:val="both"/>
      </w:pPr>
    </w:p>
    <w:p w:rsidR="00BA6CD7" w:rsidRDefault="00BA6CD7" w:rsidP="00BA6CD7">
      <w:pPr>
        <w:autoSpaceDE w:val="0"/>
        <w:autoSpaceDN w:val="0"/>
        <w:adjustRightInd w:val="0"/>
        <w:jc w:val="both"/>
      </w:pPr>
    </w:p>
    <w:p w:rsidR="00BA6CD7" w:rsidRDefault="00BA6CD7" w:rsidP="00BA6CD7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62"/>
      </w:tblGrid>
      <w:tr w:rsidR="00BA6CD7" w:rsidRPr="00CC7AB2" w:rsidTr="00BA6CD7">
        <w:trPr>
          <w:trHeight w:val="397"/>
        </w:trPr>
        <w:tc>
          <w:tcPr>
            <w:tcW w:w="9062" w:type="dxa"/>
            <w:shd w:val="clear" w:color="auto" w:fill="C0C0C0"/>
          </w:tcPr>
          <w:p w:rsidR="00BA6CD7" w:rsidRPr="00CC7AB2" w:rsidRDefault="00BA6CD7" w:rsidP="00EA226F">
            <w:pPr>
              <w:pStyle w:val="NormalWeb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lastRenderedPageBreak/>
              <w:t>5) ISHODIŠTE I POKAZATELJE NA KOJIMA SE ZASNIVAJU IZRAČUNI I OCJENE POTREBNIH SREDSTAVA ZA PROVOĐENJE PROGRAMA</w:t>
            </w:r>
          </w:p>
        </w:tc>
      </w:tr>
      <w:tr w:rsidR="00BA6CD7" w:rsidRPr="00CC7AB2" w:rsidTr="00BA6CD7">
        <w:trPr>
          <w:trHeight w:val="2268"/>
        </w:trPr>
        <w:tc>
          <w:tcPr>
            <w:tcW w:w="9062" w:type="dxa"/>
            <w:shd w:val="clear" w:color="auto" w:fill="auto"/>
          </w:tcPr>
          <w:p w:rsidR="00BA6CD7" w:rsidRPr="00CC7AB2" w:rsidRDefault="00BA6CD7" w:rsidP="00EA226F">
            <w:pPr>
              <w:spacing w:before="240"/>
            </w:pPr>
            <w:r w:rsidRPr="00CC7AB2">
              <w:t>Planirano je da će se ostvariti sljedeći prihodi:</w:t>
            </w:r>
          </w:p>
          <w:tbl>
            <w:tblPr>
              <w:tblW w:w="9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178"/>
              <w:gridCol w:w="604"/>
              <w:gridCol w:w="1036"/>
              <w:gridCol w:w="112"/>
              <w:gridCol w:w="1169"/>
              <w:gridCol w:w="992"/>
              <w:gridCol w:w="1134"/>
              <w:gridCol w:w="1134"/>
              <w:gridCol w:w="963"/>
              <w:gridCol w:w="983"/>
              <w:gridCol w:w="137"/>
              <w:gridCol w:w="474"/>
            </w:tblGrid>
            <w:tr w:rsidR="00BA6CD7" w:rsidRPr="00CC7AB2" w:rsidTr="00EA226F">
              <w:trPr>
                <w:gridAfter w:val="2"/>
                <w:wAfter w:w="612" w:type="dxa"/>
                <w:trHeight w:val="180"/>
              </w:trPr>
              <w:tc>
                <w:tcPr>
                  <w:tcW w:w="5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CC7AB2" w:rsidRDefault="00BA6CD7" w:rsidP="00EA226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5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CD7" w:rsidRPr="00CC7AB2" w:rsidRDefault="00BA6CD7" w:rsidP="00EA226F">
                  <w:pPr>
                    <w:ind w:left="136"/>
                    <w:jc w:val="both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6CD7" w:rsidRDefault="00BA6CD7" w:rsidP="00EA226F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Plan </w:t>
                  </w:r>
                </w:p>
                <w:p w:rsidR="00BA6CD7" w:rsidRPr="00CC7AB2" w:rsidRDefault="00BA6CD7" w:rsidP="00EA226F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Pr="009D1577" w:rsidRDefault="00BA6CD7" w:rsidP="00EA226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9D1577">
                    <w:rPr>
                      <w:b/>
                      <w:bCs/>
                      <w:sz w:val="20"/>
                    </w:rPr>
                    <w:t xml:space="preserve">Rebalans I. </w:t>
                  </w:r>
                </w:p>
                <w:p w:rsidR="00BA6CD7" w:rsidRPr="009D1577" w:rsidRDefault="00BA6CD7" w:rsidP="00EA226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9D1577">
                    <w:rPr>
                      <w:b/>
                      <w:bCs/>
                      <w:sz w:val="20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Pr="009D1577" w:rsidRDefault="00BA6CD7" w:rsidP="00EA226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9D1577">
                    <w:rPr>
                      <w:b/>
                      <w:bCs/>
                      <w:sz w:val="20"/>
                    </w:rPr>
                    <w:t>Rebalans II. 2020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Pr="00CC7AB2" w:rsidRDefault="00BA6CD7" w:rsidP="00EA226F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Rebalans III. 2020</w:t>
                  </w:r>
                </w:p>
              </w:tc>
              <w:tc>
                <w:tcPr>
                  <w:tcW w:w="95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CC7AB2">
                    <w:rPr>
                      <w:b/>
                      <w:bCs/>
                      <w:sz w:val="20"/>
                    </w:rPr>
                    <w:t>202</w:t>
                  </w:r>
                  <w:r>
                    <w:rPr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CC7AB2">
                    <w:rPr>
                      <w:b/>
                      <w:bCs/>
                      <w:sz w:val="20"/>
                    </w:rPr>
                    <w:t>202</w:t>
                  </w:r>
                  <w:r>
                    <w:rPr>
                      <w:b/>
                      <w:bCs/>
                      <w:sz w:val="20"/>
                    </w:rPr>
                    <w:t>2</w:t>
                  </w:r>
                </w:p>
              </w:tc>
            </w:tr>
            <w:tr w:rsidR="00BA6CD7" w:rsidRPr="00CC7AB2" w:rsidTr="00EA226F">
              <w:trPr>
                <w:gridAfter w:val="2"/>
                <w:wAfter w:w="612" w:type="dxa"/>
                <w:trHeight w:val="180"/>
              </w:trPr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CC7AB2" w:rsidRDefault="00BA6CD7" w:rsidP="00EA226F">
                  <w:pPr>
                    <w:ind w:left="136"/>
                    <w:jc w:val="center"/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CD7" w:rsidRPr="00CC7AB2" w:rsidRDefault="00BA6CD7" w:rsidP="00EA226F">
                  <w:pPr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Iz gradskog proračuna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4.625.431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4.200.431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4.200.431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4.185.431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4.</w:t>
                  </w:r>
                  <w:r>
                    <w:rPr>
                      <w:sz w:val="20"/>
                    </w:rPr>
                    <w:t>625.431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4.</w:t>
                  </w:r>
                  <w:r>
                    <w:rPr>
                      <w:sz w:val="20"/>
                    </w:rPr>
                    <w:t>625.431</w:t>
                  </w:r>
                </w:p>
              </w:tc>
            </w:tr>
            <w:tr w:rsidR="00BA6CD7" w:rsidRPr="00CC7AB2" w:rsidTr="00EA226F">
              <w:trPr>
                <w:gridAfter w:val="2"/>
                <w:wAfter w:w="612" w:type="dxa"/>
                <w:trHeight w:val="180"/>
              </w:trPr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CC7AB2" w:rsidRDefault="00BA6CD7" w:rsidP="00EA226F">
                  <w:pPr>
                    <w:ind w:left="136"/>
                    <w:jc w:val="center"/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6CD7" w:rsidRPr="00CC7AB2" w:rsidRDefault="00BA6CD7" w:rsidP="00EA226F">
                  <w:pPr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Iz gradskog proračuna – pomoći (EU projekt)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172.000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172.000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172.000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124.370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0</w:t>
                  </w:r>
                </w:p>
              </w:tc>
            </w:tr>
            <w:tr w:rsidR="00BA6CD7" w:rsidRPr="00CC7AB2" w:rsidTr="00EA226F">
              <w:trPr>
                <w:gridAfter w:val="2"/>
                <w:wAfter w:w="612" w:type="dxa"/>
                <w:trHeight w:val="180"/>
              </w:trPr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CC7AB2" w:rsidRDefault="00BA6CD7" w:rsidP="00EA226F">
                  <w:pPr>
                    <w:ind w:left="136"/>
                    <w:jc w:val="center"/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CD7" w:rsidRPr="00CC7AB2" w:rsidRDefault="00BA6CD7" w:rsidP="00EA226F">
                  <w:pPr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Od prihoda od pomoći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1.332.112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1.332.112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1.660.540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1.903.414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936.315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677.100</w:t>
                  </w:r>
                </w:p>
              </w:tc>
            </w:tr>
            <w:tr w:rsidR="00BA6CD7" w:rsidRPr="00CC7AB2" w:rsidTr="00EA226F">
              <w:trPr>
                <w:gridAfter w:val="2"/>
                <w:wAfter w:w="612" w:type="dxa"/>
                <w:trHeight w:val="180"/>
              </w:trPr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CC7AB2" w:rsidRDefault="00BA6CD7" w:rsidP="00EA226F">
                  <w:pPr>
                    <w:ind w:left="136"/>
                    <w:jc w:val="center"/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CD7" w:rsidRPr="00CC7AB2" w:rsidRDefault="00BA6CD7" w:rsidP="00EA226F">
                  <w:pPr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Iz vlastitih prihoda (ulaznice, obrazovni programi, najmovi prostora)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1.171.092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1.171.092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1.157.895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966.294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1.1</w:t>
                  </w:r>
                  <w:r>
                    <w:rPr>
                      <w:sz w:val="20"/>
                    </w:rPr>
                    <w:t>64.092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>164.091</w:t>
                  </w:r>
                </w:p>
              </w:tc>
            </w:tr>
            <w:tr w:rsidR="00BA6CD7" w:rsidRPr="00CC7AB2" w:rsidTr="00EA226F">
              <w:trPr>
                <w:gridAfter w:val="2"/>
                <w:wAfter w:w="612" w:type="dxa"/>
                <w:trHeight w:val="180"/>
              </w:trPr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CD7" w:rsidRPr="00CC7AB2" w:rsidRDefault="00BA6CD7" w:rsidP="00EA226F">
                  <w:pPr>
                    <w:ind w:left="136"/>
                    <w:jc w:val="center"/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CD7" w:rsidRPr="00CC7AB2" w:rsidRDefault="00BA6CD7" w:rsidP="00EA226F">
                  <w:pPr>
                    <w:rPr>
                      <w:sz w:val="20"/>
                    </w:rPr>
                  </w:pPr>
                  <w:r w:rsidRPr="00CC7AB2">
                    <w:rPr>
                      <w:sz w:val="20"/>
                    </w:rPr>
                    <w:t>Od donacija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50.800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50.800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45.750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A6CD7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153.780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50.800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A6CD7" w:rsidRPr="00CC7AB2" w:rsidRDefault="00BA6CD7" w:rsidP="00EA226F">
                  <w:pPr>
                    <w:ind w:left="13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50.800</w:t>
                  </w:r>
                </w:p>
              </w:tc>
            </w:tr>
            <w:tr w:rsidR="00BA6CD7" w:rsidRPr="00CC7AB2" w:rsidTr="00EA226F">
              <w:trPr>
                <w:gridAfter w:val="2"/>
                <w:wAfter w:w="612" w:type="dxa"/>
                <w:trHeight w:val="18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CC7AB2" w:rsidRDefault="00BA6CD7" w:rsidP="00EA226F">
                  <w:pPr>
                    <w:ind w:left="136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A6CD7" w:rsidRPr="00B27E9F" w:rsidRDefault="00BA6CD7" w:rsidP="00EA226F">
                  <w:pPr>
                    <w:rPr>
                      <w:b/>
                      <w:sz w:val="20"/>
                    </w:rPr>
                  </w:pPr>
                  <w:r w:rsidRPr="00B27E9F">
                    <w:rPr>
                      <w:b/>
                      <w:sz w:val="20"/>
                    </w:rPr>
                    <w:t>UKUPNO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6CD7" w:rsidRPr="00B27E9F" w:rsidRDefault="00BA6CD7" w:rsidP="00EA226F">
                  <w:pPr>
                    <w:ind w:left="136"/>
                    <w:jc w:val="right"/>
                    <w:rPr>
                      <w:b/>
                      <w:sz w:val="20"/>
                    </w:rPr>
                  </w:pPr>
                  <w:r w:rsidRPr="00B27E9F">
                    <w:rPr>
                      <w:b/>
                      <w:sz w:val="20"/>
                    </w:rPr>
                    <w:t>7.351.435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Pr="00B27E9F" w:rsidRDefault="00BA6CD7" w:rsidP="00EA226F">
                  <w:pPr>
                    <w:ind w:left="136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6.926.435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Pr="00B27E9F" w:rsidRDefault="00BA6CD7" w:rsidP="00EA226F">
                  <w:pPr>
                    <w:ind w:left="136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7.236.646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Pr="00B27E9F" w:rsidRDefault="00BA6CD7" w:rsidP="00EA226F">
                  <w:pPr>
                    <w:ind w:left="136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7.333.289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Pr="00B27E9F" w:rsidRDefault="00BA6CD7" w:rsidP="00EA226F">
                  <w:pPr>
                    <w:ind w:left="136"/>
                    <w:jc w:val="right"/>
                    <w:rPr>
                      <w:b/>
                      <w:sz w:val="20"/>
                    </w:rPr>
                  </w:pPr>
                  <w:r w:rsidRPr="00B27E9F">
                    <w:rPr>
                      <w:b/>
                      <w:sz w:val="20"/>
                    </w:rPr>
                    <w:t>6.776.638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CD7" w:rsidRPr="00B27E9F" w:rsidRDefault="00BA6CD7" w:rsidP="00EA226F">
                  <w:pPr>
                    <w:ind w:left="136"/>
                    <w:jc w:val="right"/>
                    <w:rPr>
                      <w:b/>
                      <w:sz w:val="20"/>
                    </w:rPr>
                  </w:pPr>
                  <w:r w:rsidRPr="00B27E9F">
                    <w:rPr>
                      <w:b/>
                      <w:sz w:val="20"/>
                    </w:rPr>
                    <w:t>6.517.42</w:t>
                  </w:r>
                  <w:r>
                    <w:rPr>
                      <w:b/>
                      <w:sz w:val="20"/>
                    </w:rPr>
                    <w:t>2</w:t>
                  </w:r>
                </w:p>
              </w:tc>
            </w:tr>
            <w:tr w:rsidR="00BA6CD7" w:rsidRPr="00CC7AB2" w:rsidTr="00EA226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0"/>
              </w:trPr>
              <w:tc>
                <w:tcPr>
                  <w:tcW w:w="6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6CD7" w:rsidRPr="00CC7AB2" w:rsidRDefault="00BA6CD7" w:rsidP="00EA226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6CD7" w:rsidRPr="00CC7AB2" w:rsidRDefault="00BA6CD7" w:rsidP="00EA226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6CD7" w:rsidRPr="00CC7AB2" w:rsidRDefault="00BA6CD7" w:rsidP="00EA226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65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A6CD7" w:rsidRPr="00CC7AB2" w:rsidRDefault="00BA6CD7" w:rsidP="00EA226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A6CD7" w:rsidRPr="00CC7AB2" w:rsidRDefault="00BA6CD7" w:rsidP="00EA226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BA6CD7" w:rsidRPr="00CC7AB2" w:rsidRDefault="00BA6CD7" w:rsidP="00EA226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Redovna djelatnost</w:t>
            </w:r>
          </w:p>
          <w:p w:rsidR="00BA6CD7" w:rsidRPr="00CC7AB2" w:rsidRDefault="00BA6CD7" w:rsidP="00EA226F">
            <w:pPr>
              <w:ind w:left="306"/>
              <w:jc w:val="both"/>
              <w:rPr>
                <w:iCs/>
              </w:rPr>
            </w:pPr>
            <w:r w:rsidRPr="00CC7AB2">
              <w:rPr>
                <w:iCs/>
              </w:rPr>
              <w:t>Sre</w:t>
            </w:r>
            <w:r>
              <w:rPr>
                <w:iCs/>
              </w:rPr>
              <w:t>dstva za plaće za razdoblje 2020.- 2022</w:t>
            </w:r>
            <w:r w:rsidRPr="00CC7AB2">
              <w:rPr>
                <w:iCs/>
              </w:rPr>
              <w:t>. godine planirana su prema broju</w:t>
            </w:r>
            <w:r>
              <w:rPr>
                <w:iCs/>
              </w:rPr>
              <w:t xml:space="preserve"> planiranih radnih mjesta u 2019</w:t>
            </w:r>
            <w:r w:rsidRPr="00CC7AB2">
              <w:rPr>
                <w:iCs/>
              </w:rPr>
              <w:t xml:space="preserve">. godini. Izračun za plaće uvećan je za minuli rad, odnosno 0,5% za svaku navršenu godinu radnog staža. Pomoći i potpore planirani su na osnovu sadašnjeg stanja, a jubilarne nagrade i otpremnine temeljem broja djelatnika koji su u planiranim godinama stekli uvjete za isplatu jubilarne nagrade odnosno odlazak u mirovinu. 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Predviđeno je financiranje prihodima: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 gradskog  proračuna: 2.817.581</w:t>
            </w:r>
            <w:r w:rsidRPr="00CC7AB2">
              <w:rPr>
                <w:sz w:val="22"/>
                <w:szCs w:val="22"/>
              </w:rPr>
              <w:t xml:space="preserve">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</w:t>
            </w:r>
            <w:r>
              <w:rPr>
                <w:sz w:val="22"/>
                <w:szCs w:val="22"/>
              </w:rPr>
              <w:t xml:space="preserve"> vlastiti sredstava: 496.591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BA6CD7" w:rsidRPr="00CC7AB2" w:rsidRDefault="00BA6CD7" w:rsidP="00EA226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Samoborska glazbena jesen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programa i utrošenih sredstava u 201</w:t>
            </w:r>
            <w:r>
              <w:rPr>
                <w:sz w:val="22"/>
                <w:szCs w:val="22"/>
              </w:rPr>
              <w:t>9</w:t>
            </w:r>
            <w:r w:rsidRPr="00CC7AB2">
              <w:rPr>
                <w:sz w:val="22"/>
                <w:szCs w:val="22"/>
              </w:rPr>
              <w:t>. godini. Predviđeno je financiranje prihodima: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- iz gradskog  proračuna: </w:t>
            </w:r>
            <w:r>
              <w:rPr>
                <w:sz w:val="22"/>
                <w:szCs w:val="22"/>
              </w:rPr>
              <w:t>114</w:t>
            </w:r>
            <w:r w:rsidRPr="00CC7AB2">
              <w:rPr>
                <w:sz w:val="22"/>
                <w:szCs w:val="22"/>
              </w:rPr>
              <w:t>.000 kn</w:t>
            </w:r>
            <w:r>
              <w:rPr>
                <w:sz w:val="22"/>
                <w:szCs w:val="22"/>
              </w:rPr>
              <w:t xml:space="preserve"> 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 pomoći (državna i županijska sredstva):</w:t>
            </w:r>
            <w:r>
              <w:rPr>
                <w:sz w:val="22"/>
                <w:szCs w:val="22"/>
              </w:rPr>
              <w:t xml:space="preserve"> 360.000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 donacija: 4.000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- iz vlastiti sredstava: </w:t>
            </w:r>
            <w:r>
              <w:rPr>
                <w:sz w:val="22"/>
                <w:szCs w:val="22"/>
              </w:rPr>
              <w:t>40.000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BA6CD7" w:rsidRPr="00CC7AB2" w:rsidRDefault="00BA6CD7" w:rsidP="00EA226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Galerija Prica</w:t>
            </w:r>
          </w:p>
          <w:p w:rsidR="00BA6CD7" w:rsidRPr="009D157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</w:t>
            </w:r>
            <w:r>
              <w:rPr>
                <w:sz w:val="22"/>
                <w:szCs w:val="22"/>
              </w:rPr>
              <w:t>ama i utrošenih sredstava u 2019</w:t>
            </w:r>
            <w:r w:rsidRPr="00CC7AB2">
              <w:rPr>
                <w:sz w:val="22"/>
                <w:szCs w:val="22"/>
              </w:rPr>
              <w:t>. godini. Predviđeno je financiranje pr</w:t>
            </w:r>
            <w:r w:rsidRPr="009D1577">
              <w:rPr>
                <w:sz w:val="22"/>
                <w:szCs w:val="22"/>
              </w:rPr>
              <w:t>ihodima: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9D1577">
              <w:rPr>
                <w:sz w:val="22"/>
                <w:szCs w:val="22"/>
              </w:rPr>
              <w:t xml:space="preserve">- iz gradskog  proračuna: </w:t>
            </w:r>
            <w:r>
              <w:rPr>
                <w:sz w:val="22"/>
                <w:szCs w:val="22"/>
              </w:rPr>
              <w:t>6</w:t>
            </w:r>
            <w:r w:rsidRPr="009D1577">
              <w:rPr>
                <w:sz w:val="22"/>
                <w:szCs w:val="22"/>
              </w:rPr>
              <w:t>5.000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 pomoći (dr</w:t>
            </w:r>
            <w:r>
              <w:rPr>
                <w:sz w:val="22"/>
                <w:szCs w:val="22"/>
              </w:rPr>
              <w:t>žavna i županijska sredstva): 35</w:t>
            </w:r>
            <w:r w:rsidRPr="00CC7AB2">
              <w:rPr>
                <w:sz w:val="22"/>
                <w:szCs w:val="22"/>
              </w:rPr>
              <w:t>.000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</w:t>
            </w:r>
            <w:r>
              <w:rPr>
                <w:sz w:val="22"/>
                <w:szCs w:val="22"/>
              </w:rPr>
              <w:t>z vlastiti sredstava: 29.000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 donacija: 2.000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BA6CD7" w:rsidRPr="00CC7AB2" w:rsidRDefault="00BA6CD7" w:rsidP="00EA226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Posebni programi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programa i utrošenih sredstava u 201</w:t>
            </w:r>
            <w:r>
              <w:rPr>
                <w:sz w:val="22"/>
                <w:szCs w:val="22"/>
              </w:rPr>
              <w:t>9</w:t>
            </w:r>
            <w:r w:rsidRPr="00CC7AB2">
              <w:rPr>
                <w:sz w:val="22"/>
                <w:szCs w:val="22"/>
              </w:rPr>
              <w:t>. godini. Predviđeno je financiranje prihodima: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iz gradskog  proračuna: 148.000</w:t>
            </w:r>
            <w:r w:rsidRPr="00CC7AB2">
              <w:rPr>
                <w:sz w:val="22"/>
                <w:szCs w:val="22"/>
              </w:rPr>
              <w:t xml:space="preserve"> </w:t>
            </w:r>
            <w:r w:rsidRPr="009D1577">
              <w:rPr>
                <w:sz w:val="22"/>
                <w:szCs w:val="22"/>
              </w:rPr>
              <w:t>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 pomoći (dr</w:t>
            </w:r>
            <w:r>
              <w:rPr>
                <w:sz w:val="22"/>
                <w:szCs w:val="22"/>
              </w:rPr>
              <w:t>žavna i županijska sredstva): 42.000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</w:t>
            </w:r>
            <w:r>
              <w:rPr>
                <w:sz w:val="22"/>
                <w:szCs w:val="22"/>
              </w:rPr>
              <w:t>z vlastiti sredstava: 22.500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BA6CD7" w:rsidRPr="00CC7AB2" w:rsidRDefault="00BA6CD7" w:rsidP="00EA226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Stručno osposobljavanje bez zasnivanja radnog odnosa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za 1 osobi za stručno osposobljavanje bez zasnivanja radnog odnosa.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Predviđeno je financiranje prihodima: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- iz </w:t>
            </w:r>
            <w:r>
              <w:rPr>
                <w:sz w:val="22"/>
                <w:szCs w:val="22"/>
              </w:rPr>
              <w:t>pomoći (državna sredstva): 8.000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iz vlastiti sredstava: 1.000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BA6CD7" w:rsidRPr="00CC7AB2" w:rsidRDefault="00BA6CD7" w:rsidP="00EA226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Centar za mlade</w:t>
            </w:r>
            <w:r>
              <w:rPr>
                <w:sz w:val="22"/>
                <w:szCs w:val="22"/>
              </w:rPr>
              <w:t xml:space="preserve"> Bunker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</w:t>
            </w:r>
            <w:r>
              <w:rPr>
                <w:sz w:val="22"/>
                <w:szCs w:val="22"/>
              </w:rPr>
              <w:t>ama i utrošenih sredstava u 2019</w:t>
            </w:r>
            <w:r w:rsidRPr="00CC7AB2">
              <w:rPr>
                <w:sz w:val="22"/>
                <w:szCs w:val="22"/>
              </w:rPr>
              <w:t>. godini. Predviđeno je financiranje prihodima: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 gradskog  proračuna: 694.450</w:t>
            </w:r>
            <w:r w:rsidRPr="009D1577">
              <w:rPr>
                <w:sz w:val="22"/>
                <w:szCs w:val="22"/>
              </w:rPr>
              <w:t xml:space="preserve">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 pomoći (državna i župani</w:t>
            </w:r>
            <w:r>
              <w:rPr>
                <w:sz w:val="22"/>
                <w:szCs w:val="22"/>
              </w:rPr>
              <w:t>jska sredstva): 11.125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</w:t>
            </w:r>
            <w:r>
              <w:rPr>
                <w:sz w:val="22"/>
                <w:szCs w:val="22"/>
              </w:rPr>
              <w:t>z vlastiti sredstava: 9.000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BA6CD7" w:rsidRPr="00CC7AB2" w:rsidRDefault="00BA6CD7" w:rsidP="00EA226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Kino-prikazivač</w:t>
            </w:r>
            <w:r w:rsidRPr="00CC7AB2">
              <w:rPr>
                <w:sz w:val="22"/>
                <w:szCs w:val="22"/>
              </w:rPr>
              <w:t>ka djelatnost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</w:t>
            </w:r>
            <w:r>
              <w:rPr>
                <w:sz w:val="22"/>
                <w:szCs w:val="22"/>
              </w:rPr>
              <w:t>ama i utrošenih sredstava u 2019</w:t>
            </w:r>
            <w:r w:rsidRPr="00CC7AB2">
              <w:rPr>
                <w:sz w:val="22"/>
                <w:szCs w:val="22"/>
              </w:rPr>
              <w:t>. godini. Predviđeno je financiranje prihodima: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</w:t>
            </w:r>
            <w:r>
              <w:rPr>
                <w:sz w:val="22"/>
                <w:szCs w:val="22"/>
              </w:rPr>
              <w:t>z gradskog  proračuna: 142</w:t>
            </w:r>
            <w:r w:rsidRPr="00CC7AB2">
              <w:rPr>
                <w:sz w:val="22"/>
                <w:szCs w:val="22"/>
              </w:rPr>
              <w:t>.000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 pomoći (d</w:t>
            </w:r>
            <w:r>
              <w:rPr>
                <w:sz w:val="22"/>
                <w:szCs w:val="22"/>
              </w:rPr>
              <w:t>ržavna i županijska sredstva): 55.000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</w:t>
            </w:r>
            <w:r>
              <w:rPr>
                <w:sz w:val="22"/>
                <w:szCs w:val="22"/>
              </w:rPr>
              <w:t>z vlastiti sredstava: 45.200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 donacija: 147.780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BA6CD7" w:rsidRPr="00CC7AB2" w:rsidRDefault="00BA6CD7" w:rsidP="00EA226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Obrazovanje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programa i utrošenih sredstava u 201</w:t>
            </w:r>
            <w:r>
              <w:rPr>
                <w:sz w:val="22"/>
                <w:szCs w:val="22"/>
              </w:rPr>
              <w:t>9</w:t>
            </w:r>
            <w:r w:rsidRPr="00CC7AB2">
              <w:rPr>
                <w:sz w:val="22"/>
                <w:szCs w:val="22"/>
              </w:rPr>
              <w:t>. godini. Predviđeno je financiranje prihodima: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 pomoći (državna i županijska sredstva)</w:t>
            </w:r>
            <w:r w:rsidRPr="00CC7AB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117.915 </w:t>
            </w:r>
            <w:r w:rsidRPr="00CC7AB2">
              <w:rPr>
                <w:sz w:val="22"/>
                <w:szCs w:val="22"/>
              </w:rPr>
              <w:t>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</w:t>
            </w:r>
            <w:r>
              <w:rPr>
                <w:sz w:val="22"/>
                <w:szCs w:val="22"/>
              </w:rPr>
              <w:t xml:space="preserve"> vlastiti sredstava: 213.000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BA6CD7" w:rsidRPr="00CC7AB2" w:rsidRDefault="00BA6CD7" w:rsidP="00EA226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Oprema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programa i potreba za opremom za nji</w:t>
            </w:r>
            <w:r>
              <w:rPr>
                <w:sz w:val="22"/>
                <w:szCs w:val="22"/>
              </w:rPr>
              <w:t>h</w:t>
            </w:r>
            <w:r w:rsidRPr="00CC7AB2">
              <w:rPr>
                <w:sz w:val="22"/>
                <w:szCs w:val="22"/>
              </w:rPr>
              <w:t>ovu realizaciju.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Predviđeno je financiranje prihodima: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 gradskog  proračuna: 179.000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- iz vlastiti sredstava: </w:t>
            </w:r>
            <w:r>
              <w:rPr>
                <w:sz w:val="22"/>
                <w:szCs w:val="22"/>
              </w:rPr>
              <w:t>110.003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BA6CD7" w:rsidRPr="00CC7AB2" w:rsidRDefault="00BA6CD7" w:rsidP="00EA226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Oprema za Centar za mlade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programa i potreba za opremom za nji</w:t>
            </w:r>
            <w:r>
              <w:rPr>
                <w:sz w:val="22"/>
                <w:szCs w:val="22"/>
              </w:rPr>
              <w:t>h</w:t>
            </w:r>
            <w:r w:rsidRPr="00CC7AB2">
              <w:rPr>
                <w:sz w:val="22"/>
                <w:szCs w:val="22"/>
              </w:rPr>
              <w:t>ovu realizaciju.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Predviđeno je financiranje prihodima: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 gradskog  proračuna: 2</w:t>
            </w:r>
            <w:r w:rsidRPr="00CC7AB2">
              <w:rPr>
                <w:sz w:val="22"/>
                <w:szCs w:val="22"/>
              </w:rPr>
              <w:t>5.000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proofErr w:type="spellStart"/>
            <w:r>
              <w:rPr>
                <w:sz w:val="22"/>
                <w:szCs w:val="22"/>
              </w:rPr>
              <w:t>Gastro</w:t>
            </w:r>
            <w:proofErr w:type="spellEnd"/>
            <w:r>
              <w:rPr>
                <w:sz w:val="22"/>
                <w:szCs w:val="22"/>
              </w:rPr>
              <w:t xml:space="preserve"> klub za pametno zapošljavanje (EU projekt)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Financiranje rashoda planirano je temeljem planiranog program u EU projektu.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Predviđeno je financiranje prohodima: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 Iz pomoći: 808.787 kn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  <w:p w:rsidR="00BA6CD7" w:rsidRPr="00B0539A" w:rsidRDefault="00BA6CD7" w:rsidP="00EA22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B0539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Zajedno možemo naprijed</w:t>
            </w:r>
            <w:r w:rsidRPr="00B0539A">
              <w:rPr>
                <w:sz w:val="22"/>
                <w:szCs w:val="22"/>
              </w:rPr>
              <w:t xml:space="preserve"> (EU projekt)</w:t>
            </w:r>
          </w:p>
          <w:p w:rsidR="00BA6CD7" w:rsidRPr="00B0539A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B0539A">
              <w:rPr>
                <w:sz w:val="22"/>
                <w:szCs w:val="22"/>
              </w:rPr>
              <w:lastRenderedPageBreak/>
              <w:t xml:space="preserve"> Financiranje rashoda planirano je tem</w:t>
            </w:r>
            <w:r>
              <w:rPr>
                <w:sz w:val="22"/>
                <w:szCs w:val="22"/>
              </w:rPr>
              <w:t>eljem planiranog program u EU p</w:t>
            </w:r>
            <w:r w:rsidRPr="00B0539A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 w:rsidRPr="00B0539A">
              <w:rPr>
                <w:sz w:val="22"/>
                <w:szCs w:val="22"/>
              </w:rPr>
              <w:t>jektu.</w:t>
            </w:r>
          </w:p>
          <w:p w:rsidR="00BA6CD7" w:rsidRPr="00B0539A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B0539A">
              <w:rPr>
                <w:sz w:val="22"/>
                <w:szCs w:val="22"/>
              </w:rPr>
              <w:t xml:space="preserve"> Predviđeno je financiranje prohodima: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053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iz</w:t>
            </w:r>
            <w:r w:rsidRPr="00B053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gradskog proračuna - pomoći: 124.370</w:t>
            </w:r>
            <w:r w:rsidRPr="00B0539A">
              <w:rPr>
                <w:sz w:val="22"/>
                <w:szCs w:val="22"/>
              </w:rPr>
              <w:t xml:space="preserve">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BA6CD7" w:rsidRPr="00B0539A" w:rsidRDefault="00BA6CD7" w:rsidP="00EA22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053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0539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Mjesto za nas</w:t>
            </w:r>
            <w:r w:rsidRPr="00B0539A">
              <w:rPr>
                <w:sz w:val="22"/>
                <w:szCs w:val="22"/>
              </w:rPr>
              <w:t xml:space="preserve"> (EU projekt)</w:t>
            </w:r>
          </w:p>
          <w:p w:rsidR="00BA6CD7" w:rsidRPr="00B0539A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B0539A">
              <w:rPr>
                <w:sz w:val="22"/>
                <w:szCs w:val="22"/>
              </w:rPr>
              <w:t xml:space="preserve">  Financiranje rashoda planirano je tem</w:t>
            </w:r>
            <w:r>
              <w:rPr>
                <w:sz w:val="22"/>
                <w:szCs w:val="22"/>
              </w:rPr>
              <w:t>eljem planiranog program u EU p</w:t>
            </w:r>
            <w:r w:rsidRPr="00B0539A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 w:rsidRPr="00B0539A">
              <w:rPr>
                <w:sz w:val="22"/>
                <w:szCs w:val="22"/>
              </w:rPr>
              <w:t>jektu.</w:t>
            </w:r>
          </w:p>
          <w:p w:rsidR="00BA6CD7" w:rsidRPr="00B0539A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B0539A">
              <w:rPr>
                <w:sz w:val="22"/>
                <w:szCs w:val="22"/>
              </w:rPr>
              <w:t xml:space="preserve">  Predviđeno je financiranje prohodima: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053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iz pomoći: 465.587 kn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BA6CD7" w:rsidRPr="004E7B24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4E7B24">
              <w:rPr>
                <w:sz w:val="22"/>
                <w:szCs w:val="22"/>
              </w:rPr>
              <w:t xml:space="preserve">Napomena: 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4E7B24">
              <w:rPr>
                <w:sz w:val="22"/>
                <w:szCs w:val="22"/>
              </w:rPr>
              <w:t>Rebalansom I. Financijskog plana POU Samobor za 2020.godinu smanjena su sredstva iz gradskog proračuna za sve programe od ožujka do kolovoza 2020.godine te za smanjenje materijalnih prava zaposlenika  a sve uslijed mjera za sprečavanje virusa COVID-19.</w:t>
            </w:r>
            <w:r>
              <w:rPr>
                <w:sz w:val="22"/>
                <w:szCs w:val="22"/>
              </w:rPr>
              <w:t xml:space="preserve"> 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Rebalansom II. Financijskog plana POU Samobor za 2020.g. godinu izvršene su prilagodbe poslovanja epidemiološkim uvjetima, uvrštene su ostvarene pomoći i donacije te neutrošena sredstva iz 2019.g.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Rebalansom III. Financijskog plana POU Samobor za 2020.godinu izvršene su prilagodbe poslovanja epidemiološkim uvjetima te su uvrštene novo dobivene pomoći i donacije. 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85"/>
              <w:gridCol w:w="1290"/>
              <w:gridCol w:w="567"/>
              <w:gridCol w:w="912"/>
              <w:gridCol w:w="912"/>
              <w:gridCol w:w="912"/>
              <w:gridCol w:w="567"/>
              <w:gridCol w:w="567"/>
              <w:gridCol w:w="912"/>
              <w:gridCol w:w="912"/>
            </w:tblGrid>
            <w:tr w:rsidR="00BA6CD7" w:rsidRPr="00CC7AB2" w:rsidTr="00EA226F">
              <w:trPr>
                <w:cantSplit/>
                <w:trHeight w:val="3165"/>
              </w:trPr>
              <w:tc>
                <w:tcPr>
                  <w:tcW w:w="1638" w:type="dxa"/>
                  <w:shd w:val="clear" w:color="auto" w:fill="DBDBDB" w:themeFill="accent3" w:themeFillTint="66"/>
                  <w:textDirection w:val="btLr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Pokazatelj</w:t>
                  </w:r>
                </w:p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ind w:left="113" w:right="-53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učinka/</w:t>
                  </w:r>
                </w:p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516" w:type="dxa"/>
                  <w:shd w:val="clear" w:color="auto" w:fill="DBDBDB" w:themeFill="accent3" w:themeFillTint="66"/>
                  <w:textDirection w:val="btLr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612" w:type="dxa"/>
                  <w:shd w:val="clear" w:color="auto" w:fill="DBDBDB" w:themeFill="accent3" w:themeFillTint="66"/>
                  <w:textDirection w:val="btLr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765" w:type="dxa"/>
                  <w:shd w:val="clear" w:color="auto" w:fill="DBDBDB" w:themeFill="accent3" w:themeFillTint="66"/>
                  <w:textDirection w:val="btLr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Polazna vrijednost</w:t>
                  </w:r>
                </w:p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  <w:r w:rsidRPr="00CC7AB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3" w:type="dxa"/>
                  <w:shd w:val="clear" w:color="auto" w:fill="DBDBDB" w:themeFill="accent3" w:themeFillTint="66"/>
                  <w:textDirection w:val="btLr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Ciljana vrijednosti</w:t>
                  </w:r>
                </w:p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  <w:r w:rsidRPr="00CC7AB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3" w:type="dxa"/>
                  <w:shd w:val="clear" w:color="auto" w:fill="DBDBDB" w:themeFill="accent3" w:themeFillTint="66"/>
                  <w:textDirection w:val="btLr"/>
                </w:tcPr>
                <w:p w:rsidR="00BA6CD7" w:rsidRPr="006B0F1F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6B0F1F">
                    <w:rPr>
                      <w:sz w:val="20"/>
                      <w:szCs w:val="20"/>
                    </w:rPr>
                    <w:t>Izmjena ciljane vrijednosti 2020</w:t>
                  </w:r>
                </w:p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6B0F1F">
                    <w:rPr>
                      <w:sz w:val="20"/>
                      <w:szCs w:val="20"/>
                    </w:rPr>
                    <w:t>(rebalans I.)</w:t>
                  </w:r>
                </w:p>
              </w:tc>
              <w:tc>
                <w:tcPr>
                  <w:tcW w:w="589" w:type="dxa"/>
                  <w:shd w:val="clear" w:color="auto" w:fill="DBDBDB" w:themeFill="accent3" w:themeFillTint="66"/>
                  <w:textDirection w:val="btL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Izmjena ciljane vrijednosti 2020 (rebalans II.)</w:t>
                  </w:r>
                </w:p>
              </w:tc>
              <w:tc>
                <w:tcPr>
                  <w:tcW w:w="584" w:type="dxa"/>
                  <w:shd w:val="clear" w:color="auto" w:fill="DBDBDB" w:themeFill="accent3" w:themeFillTint="66"/>
                  <w:textDirection w:val="btL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Izmjena ciljane vrijednosti 2020 (rebalans III.)</w:t>
                  </w:r>
                </w:p>
              </w:tc>
              <w:tc>
                <w:tcPr>
                  <w:tcW w:w="783" w:type="dxa"/>
                  <w:shd w:val="clear" w:color="auto" w:fill="DBDBDB" w:themeFill="accent3" w:themeFillTint="66"/>
                  <w:textDirection w:val="btLr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Ciljana vrijednosti</w:t>
                  </w:r>
                </w:p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  <w:r w:rsidRPr="00CC7AB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3" w:type="dxa"/>
                  <w:shd w:val="clear" w:color="auto" w:fill="DBDBDB" w:themeFill="accent3" w:themeFillTint="66"/>
                  <w:textDirection w:val="btLr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Ciljana vrijednosti</w:t>
                  </w:r>
                </w:p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CC7AB2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BA6CD7" w:rsidRPr="00CC7AB2" w:rsidTr="00EA226F">
              <w:trPr>
                <w:trHeight w:val="408"/>
              </w:trPr>
              <w:tc>
                <w:tcPr>
                  <w:tcW w:w="1638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Redovna djelatnost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Ukupan broj događanja u POUS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EB56DA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EB56DA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EB56DA">
                    <w:rPr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EB56DA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Pr="00EB56DA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Pr="00EB56DA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EB56DA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EB56DA">
                    <w:rPr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EB56DA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EB56DA">
                    <w:rPr>
                      <w:sz w:val="20"/>
                      <w:szCs w:val="20"/>
                    </w:rPr>
                    <w:t>650</w:t>
                  </w:r>
                </w:p>
              </w:tc>
            </w:tr>
            <w:tr w:rsidR="00BA6CD7" w:rsidRPr="00CC7AB2" w:rsidTr="00EA226F">
              <w:trPr>
                <w:trHeight w:val="409"/>
              </w:trPr>
              <w:tc>
                <w:tcPr>
                  <w:tcW w:w="1638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Samoborska glazbena jesen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Broj posjetitelja na Samoborskoj glazbenoj jeseni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2090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2110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2120</w:t>
                  </w:r>
                </w:p>
              </w:tc>
            </w:tr>
            <w:tr w:rsidR="00BA6CD7" w:rsidRPr="00CC7AB2" w:rsidTr="00EA226F">
              <w:trPr>
                <w:trHeight w:val="511"/>
              </w:trPr>
              <w:tc>
                <w:tcPr>
                  <w:tcW w:w="1638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Galerija Prica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Broj posjetitelja u Galeriji Prica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4400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4420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4440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4460</w:t>
                  </w:r>
                </w:p>
              </w:tc>
            </w:tr>
            <w:tr w:rsidR="00BA6CD7" w:rsidRPr="00CC7AB2" w:rsidTr="00EA226F">
              <w:trPr>
                <w:trHeight w:val="1012"/>
              </w:trPr>
              <w:tc>
                <w:tcPr>
                  <w:tcW w:w="1638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Posebni programi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Postotak ostvarenja planiranih posebnih programa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A6CD7" w:rsidRPr="00CC7AB2" w:rsidTr="00EA226F">
              <w:trPr>
                <w:trHeight w:val="567"/>
              </w:trPr>
              <w:tc>
                <w:tcPr>
                  <w:tcW w:w="1638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lastRenderedPageBreak/>
                    <w:t>Centar za mlade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Broj posjetitelja u Bunkeru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5600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5700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5800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5900</w:t>
                  </w:r>
                </w:p>
              </w:tc>
            </w:tr>
            <w:tr w:rsidR="00BA6CD7" w:rsidRPr="00CC7AB2" w:rsidTr="00EA226F">
              <w:trPr>
                <w:trHeight w:val="397"/>
              </w:trPr>
              <w:tc>
                <w:tcPr>
                  <w:tcW w:w="1638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Kino-prikazivač</w:t>
                  </w:r>
                  <w:r w:rsidRPr="00CC7AB2">
                    <w:rPr>
                      <w:sz w:val="20"/>
                      <w:szCs w:val="20"/>
                    </w:rPr>
                    <w:t>ka djelatnost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Broj posjetitelja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21000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21050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21100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21150</w:t>
                  </w:r>
                </w:p>
              </w:tc>
            </w:tr>
            <w:tr w:rsidR="00BA6CD7" w:rsidRPr="00CC7AB2" w:rsidTr="00EA226F">
              <w:trPr>
                <w:trHeight w:val="287"/>
              </w:trPr>
              <w:tc>
                <w:tcPr>
                  <w:tcW w:w="1638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Obrazovanje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Broj obrazovnih programa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BA6CD7" w:rsidRPr="00CC7AB2" w:rsidTr="00EA226F">
              <w:trPr>
                <w:trHeight w:val="287"/>
              </w:trPr>
              <w:tc>
                <w:tcPr>
                  <w:tcW w:w="1638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Stručno osposobljavanje bez zasnivanja radnog odnosa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Postotak ostvarenja Programa u kojima sudjeluju djelatnici na stručnom osposobljavanju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134044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A6CD7" w:rsidRPr="00CC7AB2" w:rsidTr="00EA226F">
              <w:trPr>
                <w:trHeight w:val="519"/>
              </w:trPr>
              <w:tc>
                <w:tcPr>
                  <w:tcW w:w="1638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Oprema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Postotak stavljanja kupljene opreme u funkciju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A6CD7" w:rsidRPr="00CC7AB2" w:rsidTr="00EA226F">
              <w:trPr>
                <w:trHeight w:val="519"/>
              </w:trPr>
              <w:tc>
                <w:tcPr>
                  <w:tcW w:w="1638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Oprema Centra za mlade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Postotak stavljanja kupljene opreme u funkciju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A6CD7" w:rsidRPr="00CC7AB2" w:rsidTr="00EA226F">
              <w:trPr>
                <w:trHeight w:val="519"/>
              </w:trPr>
              <w:tc>
                <w:tcPr>
                  <w:tcW w:w="1638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Gastro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klub za pametno zapošljavanje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2A88">
                    <w:rPr>
                      <w:sz w:val="20"/>
                      <w:szCs w:val="20"/>
                    </w:rPr>
                    <w:t>Postotak realizacije dogovorenih aktivnosti, sukladno ugovoru o dodjeli sredstava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A6CD7" w:rsidRPr="00CC7AB2" w:rsidTr="00EA226F">
              <w:trPr>
                <w:trHeight w:val="519"/>
              </w:trPr>
              <w:tc>
                <w:tcPr>
                  <w:tcW w:w="1638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Zajedno možemo naprijed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2A88">
                    <w:rPr>
                      <w:sz w:val="20"/>
                      <w:szCs w:val="20"/>
                    </w:rPr>
                    <w:t>Postotak realizacije dogovorenih aktivnosti, sukladno ugovoru o dodjeli sredstava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A6CD7" w:rsidRPr="00CC7AB2" w:rsidTr="00EA226F">
              <w:trPr>
                <w:trHeight w:val="519"/>
              </w:trPr>
              <w:tc>
                <w:tcPr>
                  <w:tcW w:w="1638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Mjesto za nas</w:t>
                  </w:r>
                </w:p>
              </w:tc>
              <w:tc>
                <w:tcPr>
                  <w:tcW w:w="1516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2A88">
                    <w:rPr>
                      <w:sz w:val="20"/>
                      <w:szCs w:val="20"/>
                    </w:rPr>
                    <w:t xml:space="preserve">Postotak realizacije </w:t>
                  </w:r>
                  <w:r w:rsidRPr="00492A88">
                    <w:rPr>
                      <w:sz w:val="20"/>
                      <w:szCs w:val="20"/>
                    </w:rPr>
                    <w:lastRenderedPageBreak/>
                    <w:t>dogovorenih aktivnosti, sukladno ugovoru o dodjeli sredstava</w:t>
                  </w:r>
                </w:p>
              </w:tc>
              <w:tc>
                <w:tcPr>
                  <w:tcW w:w="612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765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89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84" w:type="dxa"/>
                  <w:vAlign w:val="center"/>
                </w:tcPr>
                <w:p w:rsidR="00BA6CD7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3" w:type="dxa"/>
                  <w:vAlign w:val="center"/>
                </w:tcPr>
                <w:p w:rsidR="00BA6CD7" w:rsidRPr="00CC7AB2" w:rsidRDefault="00BA6CD7" w:rsidP="00EA226F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A6CD7" w:rsidRDefault="00BA6CD7" w:rsidP="00EA226F">
            <w:pPr>
              <w:pStyle w:val="NormalWeb"/>
              <w:spacing w:before="0" w:beforeAutospacing="0" w:after="0" w:afterAutospacing="0"/>
              <w:ind w:left="29"/>
              <w:rPr>
                <w:sz w:val="22"/>
                <w:szCs w:val="22"/>
              </w:rPr>
            </w:pPr>
          </w:p>
          <w:p w:rsidR="00BA6CD7" w:rsidRPr="00C20C10" w:rsidRDefault="00BA6CD7" w:rsidP="00EA226F">
            <w:pPr>
              <w:pStyle w:val="NormalWeb"/>
              <w:spacing w:before="0" w:beforeAutospacing="0" w:after="0" w:afterAutospacing="0"/>
              <w:ind w:left="29"/>
              <w:rPr>
                <w:sz w:val="22"/>
                <w:szCs w:val="22"/>
              </w:rPr>
            </w:pPr>
            <w:r w:rsidRPr="00C20C10">
              <w:rPr>
                <w:sz w:val="22"/>
                <w:szCs w:val="22"/>
              </w:rPr>
              <w:t xml:space="preserve">Napomena: </w:t>
            </w:r>
          </w:p>
          <w:p w:rsidR="00BA6CD7" w:rsidRPr="00C20C10" w:rsidRDefault="00BA6CD7" w:rsidP="00EA226F">
            <w:pPr>
              <w:pStyle w:val="NormalWeb"/>
              <w:spacing w:before="0" w:beforeAutospacing="0" w:after="0" w:afterAutospacing="0"/>
              <w:ind w:left="29"/>
              <w:rPr>
                <w:sz w:val="22"/>
                <w:szCs w:val="22"/>
              </w:rPr>
            </w:pPr>
            <w:r w:rsidRPr="00C20C10">
              <w:rPr>
                <w:sz w:val="22"/>
                <w:szCs w:val="22"/>
              </w:rPr>
              <w:t>Ciljevi – rebalans I.: Odlukom Civilnog stožera RH i Grada Samobora, POU Samobor je obustavilo sve programe od 16.3.2020.godine. Programi će se pokretati sukladno odlukama Civilnog stožera RH i Grada Samobora. Neodržavanje programa učilišta značajn</w:t>
            </w:r>
            <w:r>
              <w:rPr>
                <w:sz w:val="22"/>
                <w:szCs w:val="22"/>
              </w:rPr>
              <w:t>o smanjuje ciljane vrijednosti o</w:t>
            </w:r>
            <w:r w:rsidRPr="00C20C10">
              <w:rPr>
                <w:sz w:val="22"/>
                <w:szCs w:val="22"/>
              </w:rPr>
              <w:t>vog plana.</w:t>
            </w:r>
          </w:p>
          <w:p w:rsidR="00BA6CD7" w:rsidRDefault="00BA6CD7" w:rsidP="00EA226F">
            <w:pPr>
              <w:pStyle w:val="NormalWeb"/>
              <w:spacing w:before="0" w:beforeAutospacing="0" w:after="0" w:afterAutospacing="0"/>
              <w:ind w:left="29"/>
              <w:rPr>
                <w:sz w:val="22"/>
                <w:szCs w:val="22"/>
              </w:rPr>
            </w:pPr>
            <w:r w:rsidRPr="00C20C10">
              <w:rPr>
                <w:sz w:val="22"/>
                <w:szCs w:val="22"/>
              </w:rPr>
              <w:t>Ciljevi – rebalans II</w:t>
            </w:r>
            <w:r>
              <w:rPr>
                <w:sz w:val="22"/>
                <w:szCs w:val="22"/>
              </w:rPr>
              <w:t>. i III.</w:t>
            </w:r>
            <w:r w:rsidRPr="00C20C10">
              <w:rPr>
                <w:sz w:val="22"/>
                <w:szCs w:val="22"/>
              </w:rPr>
              <w:t>.: Zbog provođenja propisanih epidemioloških mjera znatno je smanjena mogućnost održavanja programa POU Samobor kao i kapaciteti postojećih prostora za održavanje programa za posjetitelje i polaznike.</w:t>
            </w:r>
          </w:p>
          <w:p w:rsidR="00BA6CD7" w:rsidRPr="00CC7AB2" w:rsidRDefault="00BA6CD7" w:rsidP="00EA226F">
            <w:pPr>
              <w:pStyle w:val="NormalWeb"/>
              <w:spacing w:before="0" w:beforeAutospacing="0" w:after="0" w:afterAutospacing="0"/>
              <w:ind w:left="29"/>
              <w:rPr>
                <w:sz w:val="22"/>
                <w:szCs w:val="22"/>
              </w:rPr>
            </w:pPr>
          </w:p>
        </w:tc>
      </w:tr>
    </w:tbl>
    <w:p w:rsidR="00BA6CD7" w:rsidRDefault="00BA6CD7" w:rsidP="00BA6CD7">
      <w:pPr>
        <w:spacing w:line="360" w:lineRule="auto"/>
        <w:jc w:val="both"/>
      </w:pPr>
    </w:p>
    <w:p w:rsidR="00BA6CD7" w:rsidRDefault="00BA6CD7" w:rsidP="00BA6CD7">
      <w:pPr>
        <w:spacing w:line="360" w:lineRule="auto"/>
        <w:jc w:val="both"/>
      </w:pPr>
    </w:p>
    <w:p w:rsidR="00BA6CD7" w:rsidRDefault="00BA6CD7" w:rsidP="00BA6CD7">
      <w:pPr>
        <w:spacing w:line="360" w:lineRule="auto"/>
        <w:jc w:val="both"/>
      </w:pPr>
    </w:p>
    <w:p w:rsidR="00BA6CD7" w:rsidRPr="002655C9" w:rsidRDefault="00BA6CD7" w:rsidP="00BA6CD7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62"/>
      </w:tblGrid>
      <w:tr w:rsidR="00BA6CD7" w:rsidRPr="002655C9" w:rsidTr="00EA226F">
        <w:tc>
          <w:tcPr>
            <w:tcW w:w="9062" w:type="dxa"/>
            <w:shd w:val="clear" w:color="auto" w:fill="C0C0C0"/>
          </w:tcPr>
          <w:p w:rsidR="00BA6CD7" w:rsidRPr="002655C9" w:rsidRDefault="00BA6CD7" w:rsidP="00EA226F">
            <w:pPr>
              <w:pStyle w:val="NormalWeb"/>
              <w:rPr>
                <w:sz w:val="22"/>
              </w:rPr>
            </w:pPr>
            <w:r w:rsidRPr="002655C9">
              <w:rPr>
                <w:sz w:val="22"/>
              </w:rPr>
              <w:t>6) IZVJEŠTAJ O POSTIGNUTIM CILJEVIMA I REZULTATIMA PROGRAMA TEMELJENIM NA POKAZATELJIMA USPJEŠNOSTI IZ NADLEŽNOSTI PRORAČUNSKOG KORISNIKA U PRETHODNOJ GODINI</w:t>
            </w:r>
          </w:p>
        </w:tc>
      </w:tr>
    </w:tbl>
    <w:p w:rsidR="00BA6CD7" w:rsidRPr="002655C9" w:rsidRDefault="00BA6CD7" w:rsidP="00BA6CD7">
      <w:pPr>
        <w:pStyle w:val="NormalWeb"/>
        <w:spacing w:after="0" w:afterAutospacing="0" w:line="360" w:lineRule="auto"/>
        <w:ind w:left="426" w:hanging="426"/>
        <w:jc w:val="both"/>
        <w:rPr>
          <w:sz w:val="22"/>
          <w:szCs w:val="22"/>
        </w:rPr>
      </w:pPr>
      <w:r w:rsidRPr="002655C9">
        <w:rPr>
          <w:sz w:val="22"/>
          <w:szCs w:val="22"/>
        </w:rPr>
        <w:t>6.1.</w:t>
      </w:r>
      <w:r w:rsidRPr="002655C9">
        <w:rPr>
          <w:sz w:val="22"/>
          <w:szCs w:val="22"/>
        </w:rPr>
        <w:tab/>
        <w:t>U prvom djelu ove točke navesti će se podaci o ostvarenju aktivnosti i projek</w:t>
      </w:r>
      <w:r>
        <w:rPr>
          <w:sz w:val="22"/>
          <w:szCs w:val="22"/>
        </w:rPr>
        <w:t>ata utvrđenih Proračunom za 2019</w:t>
      </w:r>
      <w:r w:rsidRPr="002655C9">
        <w:rPr>
          <w:sz w:val="22"/>
          <w:szCs w:val="22"/>
        </w:rPr>
        <w:t>. do datuma pisanja ovog dokumenta iz razloga što još uvijek nisu završeni (prov</w:t>
      </w:r>
      <w:r>
        <w:rPr>
          <w:sz w:val="22"/>
          <w:szCs w:val="22"/>
        </w:rPr>
        <w:t>ode se do 31.prosinca 2019</w:t>
      </w:r>
      <w:r w:rsidRPr="002655C9">
        <w:rPr>
          <w:sz w:val="22"/>
          <w:szCs w:val="22"/>
        </w:rPr>
        <w:t>.):</w:t>
      </w: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1035"/>
        <w:gridCol w:w="3359"/>
        <w:gridCol w:w="1275"/>
        <w:gridCol w:w="1701"/>
        <w:gridCol w:w="1276"/>
      </w:tblGrid>
      <w:tr w:rsidR="00BA6CD7" w:rsidRPr="002655C9" w:rsidTr="00EA226F">
        <w:trPr>
          <w:trHeight w:val="90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Naziv aktivnosti/projekta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Planirano za 2019</w:t>
            </w:r>
            <w:r w:rsidRPr="002655C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Proračun 2019</w:t>
            </w:r>
            <w:r w:rsidRPr="002655C9">
              <w:rPr>
                <w:color w:val="000000"/>
                <w:sz w:val="20"/>
                <w:szCs w:val="20"/>
              </w:rPr>
              <w:t>. godina nakon II. rebalansa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Ostvareno u 2019 do 19.12.2019</w:t>
            </w:r>
            <w:r w:rsidRPr="002655C9">
              <w:rPr>
                <w:color w:val="000000"/>
                <w:sz w:val="20"/>
                <w:szCs w:val="20"/>
              </w:rPr>
              <w:t>.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A404001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Redovna djelatnost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3.738.010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3.299.533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3.035.760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A404007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Samoborska glazbena jesen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695.000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727.800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682.204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A404009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Galerija Prica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AD30B1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AD30B1">
              <w:rPr>
                <w:color w:val="000000"/>
                <w:sz w:val="20"/>
                <w:szCs w:val="20"/>
              </w:rPr>
              <w:t>145.200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AD30B1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AD30B1">
              <w:rPr>
                <w:color w:val="000000"/>
                <w:sz w:val="20"/>
                <w:szCs w:val="20"/>
              </w:rPr>
              <w:t>187.580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AD30B1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AD30B1">
              <w:rPr>
                <w:color w:val="000000"/>
                <w:sz w:val="20"/>
                <w:szCs w:val="20"/>
              </w:rPr>
              <w:t>196.197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A404010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Posebni programi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278.400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344.347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273.433</w:t>
            </w:r>
          </w:p>
        </w:tc>
      </w:tr>
      <w:tr w:rsidR="00BA6CD7" w:rsidRPr="002655C9" w:rsidTr="00EA226F">
        <w:trPr>
          <w:trHeight w:val="6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A404017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Stručno osposobljavanje bez zasnivanja radnog odnosa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17.215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17.215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A404019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Centar za mlade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1.198.550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1.047.400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833.200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A404020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Kino-prikazivač</w:t>
            </w:r>
            <w:r w:rsidRPr="002655C9">
              <w:rPr>
                <w:color w:val="000000"/>
                <w:sz w:val="20"/>
                <w:szCs w:val="20"/>
              </w:rPr>
              <w:t>ka djelatnost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205.977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427.988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333.001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A404021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334.000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322.000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182.339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K404002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Oprema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285.000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181.800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139.446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lastRenderedPageBreak/>
              <w:t>K404003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Oprema za Centar za mlade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56.000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15.406</w:t>
            </w:r>
          </w:p>
        </w:tc>
      </w:tr>
      <w:tr w:rsidR="00BA6CD7" w:rsidRPr="002655C9" w:rsidTr="00EA226F">
        <w:trPr>
          <w:trHeight w:val="6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T404001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55C9">
              <w:rPr>
                <w:color w:val="000000"/>
                <w:sz w:val="20"/>
                <w:szCs w:val="20"/>
              </w:rPr>
              <w:t>Gastro</w:t>
            </w:r>
            <w:proofErr w:type="spellEnd"/>
            <w:r w:rsidRPr="002655C9">
              <w:rPr>
                <w:color w:val="000000"/>
                <w:sz w:val="20"/>
                <w:szCs w:val="20"/>
              </w:rPr>
              <w:t xml:space="preserve"> klub za pametno zapošljavanje (EU projekt)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678.450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259.215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50.519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T409501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Zajedno možemo naprijed (EU projekt)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172.000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172.000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C04C7E">
              <w:rPr>
                <w:color w:val="000000"/>
                <w:sz w:val="20"/>
                <w:szCs w:val="20"/>
              </w:rPr>
              <w:t>5.553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T404002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Mjesto za nas (EU projekt)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389.797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D7" w:rsidRPr="00C04C7E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186.914</w:t>
            </w:r>
          </w:p>
        </w:tc>
      </w:tr>
      <w:tr w:rsidR="00BA6CD7" w:rsidRPr="002655C9" w:rsidTr="00EA226F">
        <w:trPr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2655C9" w:rsidRDefault="00BA6CD7" w:rsidP="00EA22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7" w:rsidRPr="002655C9" w:rsidRDefault="00BA6CD7" w:rsidP="00EA226F">
            <w:pPr>
              <w:rPr>
                <w:color w:val="000000"/>
                <w:sz w:val="20"/>
                <w:szCs w:val="20"/>
              </w:rPr>
            </w:pPr>
            <w:r w:rsidRPr="002655C9">
              <w:rPr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AD30B1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AD30B1">
              <w:rPr>
                <w:color w:val="000000"/>
                <w:sz w:val="20"/>
                <w:szCs w:val="20"/>
              </w:rPr>
              <w:t>7.803.802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AD30B1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AD30B1">
              <w:rPr>
                <w:color w:val="000000"/>
                <w:sz w:val="20"/>
                <w:szCs w:val="20"/>
              </w:rPr>
              <w:t>7.406.675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D7" w:rsidRPr="00AD30B1" w:rsidRDefault="00BA6CD7" w:rsidP="00EA226F">
            <w:pPr>
              <w:jc w:val="right"/>
              <w:rPr>
                <w:color w:val="000000"/>
                <w:sz w:val="20"/>
                <w:szCs w:val="20"/>
              </w:rPr>
            </w:pPr>
            <w:r w:rsidRPr="00AD30B1">
              <w:rPr>
                <w:color w:val="000000"/>
                <w:sz w:val="20"/>
                <w:szCs w:val="20"/>
              </w:rPr>
              <w:t>5.933.972</w:t>
            </w:r>
          </w:p>
        </w:tc>
      </w:tr>
    </w:tbl>
    <w:p w:rsidR="00BA6CD7" w:rsidRPr="002655C9" w:rsidRDefault="00BA6CD7" w:rsidP="00BA6CD7">
      <w:pPr>
        <w:pStyle w:val="NormalWeb"/>
        <w:spacing w:line="360" w:lineRule="auto"/>
        <w:ind w:left="426"/>
        <w:jc w:val="both"/>
        <w:rPr>
          <w:sz w:val="22"/>
          <w:szCs w:val="22"/>
        </w:rPr>
      </w:pPr>
      <w:r w:rsidRPr="002655C9">
        <w:rPr>
          <w:sz w:val="22"/>
          <w:szCs w:val="22"/>
        </w:rPr>
        <w:t>Realizacija rashoda se odvija sukladno terminskim planovima programa i troškova te u ovisnosti s ostvarenim prihodima.</w:t>
      </w:r>
      <w:r>
        <w:rPr>
          <w:sz w:val="22"/>
          <w:szCs w:val="22"/>
        </w:rPr>
        <w:t xml:space="preserve"> Rashodi na EU projektima prate izmjene terminskih planova.</w:t>
      </w:r>
    </w:p>
    <w:p w:rsidR="00BA6CD7" w:rsidRPr="002655C9" w:rsidRDefault="00BA6CD7" w:rsidP="00BA6CD7">
      <w:pPr>
        <w:pStyle w:val="NormalWeb"/>
        <w:spacing w:line="360" w:lineRule="auto"/>
        <w:ind w:left="426" w:hanging="426"/>
        <w:jc w:val="both"/>
        <w:rPr>
          <w:sz w:val="22"/>
          <w:szCs w:val="22"/>
        </w:rPr>
      </w:pPr>
      <w:r w:rsidRPr="002655C9">
        <w:rPr>
          <w:sz w:val="22"/>
          <w:szCs w:val="22"/>
        </w:rPr>
        <w:t>6.2.</w:t>
      </w:r>
      <w:r w:rsidRPr="002655C9">
        <w:rPr>
          <w:sz w:val="22"/>
          <w:szCs w:val="22"/>
        </w:rPr>
        <w:tab/>
        <w:t>U drugom dijelu ove točke dan je prikaz rezultata za svaku pojedinu aktivnost/projekt koju provodi Pučko otvoreno učilište, a ko</w:t>
      </w:r>
      <w:r>
        <w:rPr>
          <w:sz w:val="22"/>
          <w:szCs w:val="22"/>
        </w:rPr>
        <w:t>je su utvrđene Proračunu za 2019</w:t>
      </w:r>
      <w:r w:rsidRPr="002655C9">
        <w:rPr>
          <w:sz w:val="22"/>
          <w:szCs w:val="22"/>
        </w:rPr>
        <w:t>. i za koje je utvrđeno da će se mjeriti putem pokazatelja rezultata/učinka:</w:t>
      </w:r>
    </w:p>
    <w:tbl>
      <w:tblPr>
        <w:tblW w:w="87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59"/>
        <w:gridCol w:w="984"/>
        <w:gridCol w:w="1195"/>
        <w:gridCol w:w="1083"/>
        <w:gridCol w:w="1243"/>
        <w:gridCol w:w="1316"/>
      </w:tblGrid>
      <w:tr w:rsidR="00BA6CD7" w:rsidRPr="002655C9" w:rsidTr="00EA226F">
        <w:tc>
          <w:tcPr>
            <w:tcW w:w="1417" w:type="dxa"/>
            <w:shd w:val="clear" w:color="auto" w:fill="DBDBDB" w:themeFill="accent3" w:themeFillTint="66"/>
            <w:vAlign w:val="center"/>
          </w:tcPr>
          <w:p w:rsidR="00BA6CD7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Pokazatelj učinka/</w:t>
            </w:r>
          </w:p>
          <w:p w:rsidR="00BA6CD7" w:rsidRPr="002655C9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rezultata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:rsidR="00BA6CD7" w:rsidRPr="002655C9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Definicija</w:t>
            </w:r>
          </w:p>
        </w:tc>
        <w:tc>
          <w:tcPr>
            <w:tcW w:w="984" w:type="dxa"/>
            <w:shd w:val="clear" w:color="auto" w:fill="DBDBDB" w:themeFill="accent3" w:themeFillTint="66"/>
            <w:vAlign w:val="center"/>
          </w:tcPr>
          <w:p w:rsidR="00BA6CD7" w:rsidRPr="002655C9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Jedinica</w:t>
            </w:r>
          </w:p>
        </w:tc>
        <w:tc>
          <w:tcPr>
            <w:tcW w:w="1195" w:type="dxa"/>
            <w:shd w:val="clear" w:color="auto" w:fill="DBDBDB" w:themeFill="accent3" w:themeFillTint="66"/>
            <w:vAlign w:val="center"/>
          </w:tcPr>
          <w:p w:rsidR="00BA6CD7" w:rsidRPr="002655C9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Polazna vrijednost</w:t>
            </w:r>
          </w:p>
          <w:p w:rsidR="00BA6CD7" w:rsidRPr="002655C9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2655C9">
              <w:rPr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DBDBDB" w:themeFill="accent3" w:themeFillTint="66"/>
            <w:vAlign w:val="center"/>
          </w:tcPr>
          <w:p w:rsidR="00BA6CD7" w:rsidRPr="002655C9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Izvor podataka</w:t>
            </w:r>
          </w:p>
        </w:tc>
        <w:tc>
          <w:tcPr>
            <w:tcW w:w="1243" w:type="dxa"/>
            <w:shd w:val="clear" w:color="auto" w:fill="DBDBDB" w:themeFill="accent3" w:themeFillTint="66"/>
            <w:vAlign w:val="center"/>
          </w:tcPr>
          <w:p w:rsidR="00BA6CD7" w:rsidRPr="002655C9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Ciljana vrijednosti</w:t>
            </w:r>
          </w:p>
          <w:p w:rsidR="00BA6CD7" w:rsidRPr="002655C9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2655C9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DBDBDB" w:themeFill="accent3" w:themeFillTint="66"/>
            <w:vAlign w:val="center"/>
          </w:tcPr>
          <w:p w:rsidR="00BA6CD7" w:rsidRPr="002655C9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Ostvarena vrijednosti</w:t>
            </w:r>
          </w:p>
          <w:p w:rsidR="00BA6CD7" w:rsidRPr="002655C9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 (do 30.06.2019</w:t>
            </w:r>
            <w:r w:rsidRPr="002655C9">
              <w:rPr>
                <w:sz w:val="20"/>
                <w:szCs w:val="20"/>
              </w:rPr>
              <w:t>.)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Redovna djelatnost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Ukupan broj događanja u POUS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610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635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829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Samoborska glazbena jesen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 posjetitelja na Samoborskoj glazbenoj jeseni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1960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2010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500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Galerija Prica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 posjetitelja u Galeriji Prica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5200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5400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2206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Posebni programi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ostvarenja planiranih posebnih programa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Centar za mlade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 posjetitelja u Bunkeru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2000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6200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18720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Kino</w:t>
            </w:r>
            <w:r>
              <w:rPr>
                <w:sz w:val="20"/>
                <w:szCs w:val="20"/>
              </w:rPr>
              <w:t>-</w:t>
            </w:r>
            <w:r w:rsidRPr="00F84501">
              <w:rPr>
                <w:sz w:val="20"/>
                <w:szCs w:val="20"/>
              </w:rPr>
              <w:t>prikazivačka djelatnost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 posjetitelja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11500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11500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18307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Obrazovanje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 obrazovnih programa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14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14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2F7379" w:rsidRDefault="00BA6CD7" w:rsidP="00EA22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7379">
              <w:rPr>
                <w:sz w:val="18"/>
                <w:szCs w:val="18"/>
              </w:rPr>
              <w:t xml:space="preserve">Stručno osposobljavanje </w:t>
            </w:r>
            <w:r w:rsidRPr="002F7379">
              <w:rPr>
                <w:sz w:val="18"/>
                <w:szCs w:val="18"/>
              </w:rPr>
              <w:lastRenderedPageBreak/>
              <w:t>bez zasnivanja radnog odnosa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lastRenderedPageBreak/>
              <w:t xml:space="preserve">Postotak ostvarenja </w:t>
            </w:r>
            <w:r w:rsidRPr="00F84501">
              <w:rPr>
                <w:sz w:val="20"/>
                <w:szCs w:val="20"/>
              </w:rPr>
              <w:lastRenderedPageBreak/>
              <w:t>Programa u kojima sudjeluju djelatnici na stručnom osposobljavanju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0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Oprema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stavljanja kupljene opreme u funkciju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Oprema u Centru za mlade Bunker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stavljanja kupljene opreme u funkciju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84501">
              <w:rPr>
                <w:sz w:val="20"/>
                <w:szCs w:val="20"/>
              </w:rPr>
              <w:t>Gastro</w:t>
            </w:r>
            <w:proofErr w:type="spellEnd"/>
            <w:r w:rsidRPr="00F84501">
              <w:rPr>
                <w:sz w:val="20"/>
                <w:szCs w:val="20"/>
              </w:rPr>
              <w:t xml:space="preserve"> klub za pametno zapošljavanje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realizacije dogovorenih aktivnosti, sukladno ugovoru o dodjeli sredstava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Zajedno možemo naprijed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realizacije dogovorenih aktivnosti, sukladno ugovoru o dodjeli sredstava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5</w:t>
            </w:r>
          </w:p>
        </w:tc>
      </w:tr>
      <w:tr w:rsidR="00BA6CD7" w:rsidRPr="00F84501" w:rsidTr="00EA226F">
        <w:tc>
          <w:tcPr>
            <w:tcW w:w="1417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Mjesto za nas</w:t>
            </w:r>
          </w:p>
        </w:tc>
        <w:tc>
          <w:tcPr>
            <w:tcW w:w="1559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realizacije dogovorenih aktivnosti, sukladno ugovoru o dodjeli sredstava</w:t>
            </w:r>
          </w:p>
        </w:tc>
        <w:tc>
          <w:tcPr>
            <w:tcW w:w="984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</w:t>
            </w:r>
          </w:p>
        </w:tc>
        <w:tc>
          <w:tcPr>
            <w:tcW w:w="1316" w:type="dxa"/>
            <w:vAlign w:val="center"/>
          </w:tcPr>
          <w:p w:rsidR="00BA6CD7" w:rsidRPr="00F84501" w:rsidRDefault="00BA6CD7" w:rsidP="00EA226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5</w:t>
            </w:r>
          </w:p>
        </w:tc>
      </w:tr>
    </w:tbl>
    <w:p w:rsidR="00BA6CD7" w:rsidRPr="002655C9" w:rsidRDefault="00BA6CD7" w:rsidP="00BA6CD7">
      <w:pPr>
        <w:spacing w:before="100" w:beforeAutospacing="1" w:line="360" w:lineRule="auto"/>
        <w:ind w:left="426" w:firstLine="425"/>
        <w:jc w:val="both"/>
      </w:pPr>
      <w:r w:rsidRPr="00F84501">
        <w:t>Analiza ciljanih i realiziranih vrijednosti (do 30.6.2019.) pokaz</w:t>
      </w:r>
      <w:r w:rsidRPr="002655C9">
        <w:t xml:space="preserve">uje uspješnost realizacije programa POU Samobor u svim njegovim segmentima, </w:t>
      </w:r>
      <w:r>
        <w:t xml:space="preserve">shodno vremenskom planu realizacije. </w:t>
      </w:r>
    </w:p>
    <w:p w:rsidR="00BA6CD7" w:rsidRPr="002655C9" w:rsidRDefault="00BA6CD7" w:rsidP="00BA6CD7">
      <w:pPr>
        <w:spacing w:line="360" w:lineRule="auto"/>
        <w:ind w:left="426" w:firstLine="425"/>
        <w:jc w:val="both"/>
      </w:pPr>
      <w:r w:rsidRPr="002655C9">
        <w:t xml:space="preserve">Valja napomenuti da validacija kulturnih i obrazovnih programa i događanja nije u potpunosti obuhvaćena ukoliko se gleda samo brojčani pokazatelji tj. kvantiteta, ali se pokazatelji kvalitete </w:t>
      </w:r>
      <w:r w:rsidRPr="002655C9">
        <w:lastRenderedPageBreak/>
        <w:t>kulturnih događanja i obrazovnih programa ne mogu izraziti brojkama</w:t>
      </w:r>
      <w:r>
        <w:t xml:space="preserve"> pa stoga nisu ovdje prikazani.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62"/>
      </w:tblGrid>
      <w:tr w:rsidR="00BA6CD7" w:rsidRPr="002655C9" w:rsidTr="00EA226F">
        <w:tc>
          <w:tcPr>
            <w:tcW w:w="9622" w:type="dxa"/>
            <w:shd w:val="clear" w:color="auto" w:fill="C0C0C0"/>
          </w:tcPr>
          <w:p w:rsidR="00BA6CD7" w:rsidRPr="002655C9" w:rsidRDefault="00BA6CD7" w:rsidP="00EA226F">
            <w:pPr>
              <w:pStyle w:val="NormalWeb"/>
              <w:rPr>
                <w:sz w:val="22"/>
                <w:szCs w:val="22"/>
              </w:rPr>
            </w:pPr>
            <w:r w:rsidRPr="002655C9">
              <w:rPr>
                <w:sz w:val="22"/>
                <w:szCs w:val="22"/>
              </w:rPr>
              <w:t>7) OSTALA OBRAZLOŽENJA I DOKUMENTACIJA</w:t>
            </w:r>
          </w:p>
        </w:tc>
      </w:tr>
    </w:tbl>
    <w:p w:rsidR="00BA6CD7" w:rsidRPr="002655C9" w:rsidRDefault="00BA6CD7" w:rsidP="00BA6CD7"/>
    <w:p w:rsidR="00BA6CD7" w:rsidRPr="002655C9" w:rsidRDefault="00BA6CD7" w:rsidP="00BA6CD7">
      <w:pPr>
        <w:spacing w:line="360" w:lineRule="auto"/>
        <w:ind w:firstLine="708"/>
        <w:jc w:val="both"/>
      </w:pPr>
      <w:r w:rsidRPr="002655C9">
        <w:t>POU Samobor će i dalje nastaviti svoje djelovanje sukladno Strateškom planu POU Samobor, Statutu i ostalim aktima te planiranim rashodima.</w:t>
      </w:r>
    </w:p>
    <w:p w:rsidR="00BA6CD7" w:rsidRDefault="00BA6CD7" w:rsidP="00BA6CD7">
      <w:pPr>
        <w:spacing w:line="360" w:lineRule="auto"/>
        <w:ind w:firstLine="708"/>
        <w:jc w:val="both"/>
      </w:pPr>
      <w:r w:rsidRPr="002655C9">
        <w:t>Obrazloženja prijedloga financ</w:t>
      </w:r>
      <w:r>
        <w:t>ijskog plana POU Samobor za 2020</w:t>
      </w:r>
      <w:r w:rsidRPr="002655C9">
        <w:t xml:space="preserve">.godinu donesen je na prijedlog ravnateljice na sjednici Upravnog vijeća </w:t>
      </w:r>
      <w:r>
        <w:t>20.12.2019.</w:t>
      </w:r>
      <w:r w:rsidRPr="002655C9">
        <w:t xml:space="preserve"> godine.</w:t>
      </w:r>
    </w:p>
    <w:p w:rsidR="00BA6CD7" w:rsidRDefault="00BA6CD7" w:rsidP="00BA6CD7">
      <w:pPr>
        <w:spacing w:line="360" w:lineRule="auto"/>
        <w:ind w:firstLine="708"/>
        <w:jc w:val="both"/>
      </w:pPr>
      <w:r w:rsidRPr="00C20C10">
        <w:t>Izmjene i dopune Obrazloženja financijskog plana POU Samobor za 2020.godinu (I.</w:t>
      </w:r>
      <w:r>
        <w:t xml:space="preserve"> </w:t>
      </w:r>
      <w:r w:rsidRPr="00C20C10">
        <w:t>rebalans) donesen je na prijedlog ravnateljice na sjednici Upravnog vijeća 14.05.2020.godine.</w:t>
      </w:r>
    </w:p>
    <w:p w:rsidR="00BA6CD7" w:rsidRDefault="00BA6CD7" w:rsidP="00BA6CD7">
      <w:pPr>
        <w:spacing w:line="360" w:lineRule="auto"/>
        <w:ind w:firstLine="708"/>
        <w:jc w:val="both"/>
      </w:pPr>
      <w:r>
        <w:t>Izmjene i dopune Obrazloženja financijskog plana POU Samobor za 2020.godinu (II. rebalans) donesena je na prijedlog ravnateljice na sjednici Upravnog vijeća 15.7.2020.godine.</w:t>
      </w:r>
    </w:p>
    <w:p w:rsidR="00BA6CD7" w:rsidRDefault="00BA6CD7" w:rsidP="00BA6CD7">
      <w:pPr>
        <w:spacing w:line="360" w:lineRule="auto"/>
        <w:ind w:firstLine="708"/>
        <w:jc w:val="both"/>
      </w:pPr>
      <w:r w:rsidRPr="003F2C0D">
        <w:t>Izmjene i dopune Obrazloženja financijskog plana POU Samobor za 2020.godinu (II</w:t>
      </w:r>
      <w:r>
        <w:t>I</w:t>
      </w:r>
      <w:r w:rsidRPr="003F2C0D">
        <w:t>.</w:t>
      </w:r>
      <w:r>
        <w:t xml:space="preserve"> </w:t>
      </w:r>
      <w:r w:rsidRPr="003F2C0D">
        <w:t xml:space="preserve">rebalans) donesena je na prijedlog ravnateljice na sjednici Upravnog vijeća </w:t>
      </w:r>
      <w:r>
        <w:t>25.11</w:t>
      </w:r>
      <w:r w:rsidRPr="003F2C0D">
        <w:t>.2020.godine.</w:t>
      </w:r>
    </w:p>
    <w:p w:rsidR="00BA6CD7" w:rsidRPr="002655C9" w:rsidRDefault="00BA6CD7" w:rsidP="00BA6CD7">
      <w:pPr>
        <w:spacing w:line="360" w:lineRule="auto"/>
        <w:ind w:firstLine="708"/>
        <w:jc w:val="both"/>
      </w:pPr>
    </w:p>
    <w:p w:rsidR="00BA6CD7" w:rsidRPr="002655C9" w:rsidRDefault="00BA6CD7" w:rsidP="00BA6CD7">
      <w:r w:rsidRPr="002655C9">
        <w:tab/>
      </w:r>
    </w:p>
    <w:p w:rsidR="00BA6CD7" w:rsidRPr="002655C9" w:rsidRDefault="00BA6CD7" w:rsidP="00BA6CD7">
      <w:pPr>
        <w:spacing w:line="360" w:lineRule="auto"/>
        <w:ind w:left="4248" w:firstLine="708"/>
      </w:pPr>
      <w:r w:rsidRPr="002655C9">
        <w:t>Predsjednik Upravnog vijeća</w:t>
      </w:r>
    </w:p>
    <w:p w:rsidR="00BA6CD7" w:rsidRPr="002655C9" w:rsidRDefault="00BA6CD7" w:rsidP="00BA6CD7">
      <w:pPr>
        <w:spacing w:line="360" w:lineRule="auto"/>
      </w:pPr>
      <w:r w:rsidRPr="002655C9">
        <w:tab/>
      </w:r>
      <w:r w:rsidRPr="002655C9">
        <w:tab/>
      </w:r>
      <w:r w:rsidRPr="002655C9">
        <w:tab/>
      </w:r>
      <w:r w:rsidRPr="002655C9">
        <w:tab/>
      </w:r>
      <w:r w:rsidRPr="002655C9">
        <w:tab/>
      </w:r>
      <w:r w:rsidRPr="002655C9">
        <w:tab/>
      </w:r>
      <w:r w:rsidRPr="002655C9">
        <w:tab/>
        <w:t>Krešo Sokolović</w:t>
      </w:r>
      <w:r>
        <w:t xml:space="preserve"> v.r.</w:t>
      </w:r>
      <w:bookmarkStart w:id="0" w:name="_GoBack"/>
      <w:bookmarkEnd w:id="0"/>
    </w:p>
    <w:p w:rsidR="00BA6CD7" w:rsidRDefault="00BA6CD7" w:rsidP="00BA6CD7"/>
    <w:p w:rsidR="00BA6CD7" w:rsidRDefault="00BA6CD7" w:rsidP="00BA6CD7"/>
    <w:p w:rsidR="00BA6CD7" w:rsidRPr="00A37FCA" w:rsidRDefault="00BA6CD7" w:rsidP="00BA6CD7">
      <w:r w:rsidRPr="00A37FCA">
        <w:t xml:space="preserve">KLASA: </w:t>
      </w:r>
      <w:r w:rsidRPr="002F7379">
        <w:t>400-02/20-01/5</w:t>
      </w:r>
    </w:p>
    <w:p w:rsidR="00BA6CD7" w:rsidRDefault="00BA6CD7" w:rsidP="00BA6CD7">
      <w:proofErr w:type="spellStart"/>
      <w:r w:rsidRPr="00A37FCA">
        <w:t>Ur</w:t>
      </w:r>
      <w:proofErr w:type="spellEnd"/>
      <w:r>
        <w:t xml:space="preserve">. </w:t>
      </w:r>
      <w:r w:rsidRPr="00A37FCA">
        <w:t xml:space="preserve">broj: </w:t>
      </w:r>
      <w:r>
        <w:t>238/27-85-20-1958</w:t>
      </w:r>
    </w:p>
    <w:p w:rsidR="001D7935" w:rsidRDefault="001D7935"/>
    <w:sectPr w:rsidR="001D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6C5"/>
    <w:multiLevelType w:val="hybridMultilevel"/>
    <w:tmpl w:val="1FFC7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007"/>
    <w:multiLevelType w:val="hybridMultilevel"/>
    <w:tmpl w:val="0796825C"/>
    <w:lvl w:ilvl="0" w:tplc="5A5C0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880"/>
    <w:multiLevelType w:val="hybridMultilevel"/>
    <w:tmpl w:val="AFA8477E"/>
    <w:lvl w:ilvl="0" w:tplc="3838259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23AEB"/>
    <w:multiLevelType w:val="hybridMultilevel"/>
    <w:tmpl w:val="171CDE98"/>
    <w:lvl w:ilvl="0" w:tplc="A29CECE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2" w:hanging="360"/>
      </w:pPr>
    </w:lvl>
    <w:lvl w:ilvl="2" w:tplc="041A001B" w:tentative="1">
      <w:start w:val="1"/>
      <w:numFmt w:val="lowerRoman"/>
      <w:lvlText w:val="%3."/>
      <w:lvlJc w:val="right"/>
      <w:pPr>
        <w:ind w:left="1822" w:hanging="180"/>
      </w:pPr>
    </w:lvl>
    <w:lvl w:ilvl="3" w:tplc="041A000F" w:tentative="1">
      <w:start w:val="1"/>
      <w:numFmt w:val="decimal"/>
      <w:lvlText w:val="%4."/>
      <w:lvlJc w:val="left"/>
      <w:pPr>
        <w:ind w:left="2542" w:hanging="360"/>
      </w:pPr>
    </w:lvl>
    <w:lvl w:ilvl="4" w:tplc="041A0019" w:tentative="1">
      <w:start w:val="1"/>
      <w:numFmt w:val="lowerLetter"/>
      <w:lvlText w:val="%5."/>
      <w:lvlJc w:val="left"/>
      <w:pPr>
        <w:ind w:left="3262" w:hanging="360"/>
      </w:pPr>
    </w:lvl>
    <w:lvl w:ilvl="5" w:tplc="041A001B" w:tentative="1">
      <w:start w:val="1"/>
      <w:numFmt w:val="lowerRoman"/>
      <w:lvlText w:val="%6."/>
      <w:lvlJc w:val="right"/>
      <w:pPr>
        <w:ind w:left="3982" w:hanging="180"/>
      </w:pPr>
    </w:lvl>
    <w:lvl w:ilvl="6" w:tplc="041A000F" w:tentative="1">
      <w:start w:val="1"/>
      <w:numFmt w:val="decimal"/>
      <w:lvlText w:val="%7."/>
      <w:lvlJc w:val="left"/>
      <w:pPr>
        <w:ind w:left="4702" w:hanging="360"/>
      </w:pPr>
    </w:lvl>
    <w:lvl w:ilvl="7" w:tplc="041A0019" w:tentative="1">
      <w:start w:val="1"/>
      <w:numFmt w:val="lowerLetter"/>
      <w:lvlText w:val="%8."/>
      <w:lvlJc w:val="left"/>
      <w:pPr>
        <w:ind w:left="5422" w:hanging="360"/>
      </w:pPr>
    </w:lvl>
    <w:lvl w:ilvl="8" w:tplc="0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4AC81298"/>
    <w:multiLevelType w:val="hybridMultilevel"/>
    <w:tmpl w:val="102A6E36"/>
    <w:lvl w:ilvl="0" w:tplc="8FC890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86421"/>
    <w:multiLevelType w:val="hybridMultilevel"/>
    <w:tmpl w:val="D1E0F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A0CBD"/>
    <w:multiLevelType w:val="hybridMultilevel"/>
    <w:tmpl w:val="D4704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D7"/>
    <w:rsid w:val="00060855"/>
    <w:rsid w:val="00183287"/>
    <w:rsid w:val="001D7935"/>
    <w:rsid w:val="003972BD"/>
    <w:rsid w:val="007C3117"/>
    <w:rsid w:val="00A916B9"/>
    <w:rsid w:val="00B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8256A-A67A-4610-87E1-6F65FD8E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C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CD7"/>
    <w:rPr>
      <w:color w:val="800080"/>
      <w:u w:val="single"/>
    </w:rPr>
  </w:style>
  <w:style w:type="paragraph" w:customStyle="1" w:styleId="xl84">
    <w:name w:val="xl84"/>
    <w:basedOn w:val="Normal"/>
    <w:rsid w:val="00B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B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B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B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BA6CD7"/>
    <w:pPr>
      <w:pBdr>
        <w:top w:val="single" w:sz="4" w:space="0" w:color="auto"/>
        <w:bottom w:val="single" w:sz="4" w:space="0" w:color="auto"/>
      </w:pBdr>
      <w:shd w:val="clear" w:color="C0C0C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BA6CD7"/>
    <w:pPr>
      <w:pBdr>
        <w:top w:val="single" w:sz="4" w:space="0" w:color="auto"/>
        <w:bottom w:val="single" w:sz="4" w:space="0" w:color="auto"/>
      </w:pBdr>
      <w:shd w:val="clear" w:color="C0C0C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BA6CD7"/>
    <w:pPr>
      <w:pBdr>
        <w:top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BA6CD7"/>
    <w:pPr>
      <w:pBdr>
        <w:top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BA6CD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BA6CD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BA6CD7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BA6CD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BA6CD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7">
    <w:name w:val="xl97"/>
    <w:basedOn w:val="Normal"/>
    <w:rsid w:val="00BA6CD7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BA6CD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BA6CD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BA6CD7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BA6CD7"/>
    <w:pPr>
      <w:shd w:val="clear" w:color="B9E9FF" w:fill="B9E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BA6CD7"/>
    <w:pPr>
      <w:shd w:val="clear" w:color="B9E9FF" w:fill="B9E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BA6CD7"/>
    <w:pPr>
      <w:shd w:val="clear" w:color="B9E9FF" w:fill="B9E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BA6C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BA6C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BA6CD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BA6C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BA6C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BA6CD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BA6CD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11">
    <w:name w:val="xl111"/>
    <w:basedOn w:val="Normal"/>
    <w:rsid w:val="00BA6CD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12">
    <w:name w:val="xl112"/>
    <w:basedOn w:val="Normal"/>
    <w:rsid w:val="00BA6CD7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13">
    <w:name w:val="xl113"/>
    <w:basedOn w:val="Normal"/>
    <w:rsid w:val="00B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4">
    <w:name w:val="xl114"/>
    <w:basedOn w:val="Normal"/>
    <w:rsid w:val="00BA6C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B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BA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A6C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BA6C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6C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BA6C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D7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D7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A6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BA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5562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2020-11-26T08:26:00Z</dcterms:created>
  <dcterms:modified xsi:type="dcterms:W3CDTF">2020-11-26T08:31:00Z</dcterms:modified>
</cp:coreProperties>
</file>