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456C" w:rsidRPr="00255AA1" w:rsidRDefault="00AF456C" w:rsidP="00AF456C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5AA1">
        <w:rPr>
          <w:rFonts w:ascii="Times New Roman" w:eastAsia="Calibri" w:hAnsi="Times New Roman" w:cs="Times New Roman"/>
          <w:b/>
          <w:sz w:val="24"/>
          <w:szCs w:val="24"/>
        </w:rPr>
        <w:t>FINANCIJSKI PLAN USTANOVE S.O.S.  ZA 2022. GODINU</w:t>
      </w: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Financijski plan za 2022. godinu izrađen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Pr="00255AA1">
        <w:rPr>
          <w:rFonts w:ascii="Times New Roman" w:eastAsia="Calibri" w:hAnsi="Times New Roman" w:cs="Times New Roman"/>
          <w:sz w:val="24"/>
          <w:szCs w:val="24"/>
        </w:rPr>
        <w:t>temelj</w:t>
      </w:r>
      <w:r w:rsidRPr="00FA7329">
        <w:rPr>
          <w:rFonts w:ascii="Times New Roman" w:eastAsia="Calibri" w:hAnsi="Times New Roman" w:cs="Times New Roman"/>
          <w:sz w:val="24"/>
          <w:szCs w:val="24"/>
        </w:rPr>
        <w:t>em</w:t>
      </w: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 Programa rad</w:t>
      </w:r>
      <w:r w:rsidRPr="00FA7329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255AA1">
        <w:rPr>
          <w:rFonts w:ascii="Times New Roman" w:eastAsia="Calibri" w:hAnsi="Times New Roman" w:cs="Times New Roman"/>
          <w:sz w:val="24"/>
          <w:szCs w:val="24"/>
        </w:rPr>
        <w:t>za 2022. godinu i na temelju realiziranih aktivnosti u 2021. godini.</w:t>
      </w:r>
    </w:p>
    <w:tbl>
      <w:tblPr>
        <w:tblW w:w="5401" w:type="pct"/>
        <w:tblLook w:val="04A0" w:firstRow="1" w:lastRow="0" w:firstColumn="1" w:lastColumn="0" w:noHBand="0" w:noVBand="1"/>
      </w:tblPr>
      <w:tblGrid>
        <w:gridCol w:w="915"/>
        <w:gridCol w:w="4678"/>
        <w:gridCol w:w="1353"/>
        <w:gridCol w:w="1530"/>
        <w:gridCol w:w="1313"/>
      </w:tblGrid>
      <w:tr w:rsidR="00AF456C" w:rsidRPr="00255AA1" w:rsidTr="00F14264">
        <w:trPr>
          <w:trHeight w:val="60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bookmarkStart w:id="0" w:name="OLE_LINK1"/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IZVOR  KONTO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OPIS POZICIJE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IZVRŠENJE 2020.g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PLAN 2021.g 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 w:rsidRPr="00255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. IZMJENE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PLAN 2022.g</w:t>
            </w:r>
          </w:p>
        </w:tc>
      </w:tr>
      <w:tr w:rsidR="00AF456C" w:rsidRPr="00255AA1" w:rsidTr="00F14264">
        <w:trPr>
          <w:trHeight w:val="315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right="-112" w:firstLine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PRIHODI</w:t>
            </w:r>
          </w:p>
        </w:tc>
      </w:tr>
      <w:tr w:rsidR="00AF456C" w:rsidRPr="00255AA1" w:rsidTr="00F14264">
        <w:trPr>
          <w:trHeight w:val="402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right="-11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 GRAD SAMOBOR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1.500.000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1.895.000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950</w:t>
            </w: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000</w:t>
            </w: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right="-11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351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right="-11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donacija iz proračuna grada Samobora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1.500.000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1.895.000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95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000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F456C" w:rsidRPr="00255AA1" w:rsidTr="00F14264">
        <w:trPr>
          <w:trHeight w:val="402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right="-11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 USTANOVA S.O.S.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1.913.225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2.029.260</w:t>
            </w: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2.219.028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right="-11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311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right="-11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Prihodi od prodaje roba i pružanja usluga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558.039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702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660.000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right="-11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341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right="-11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financijske imovine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12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1.100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right="-11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342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right="-25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nefinancijske imovine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1.133.068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1.001.300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1.316.900 </w:t>
            </w:r>
          </w:p>
        </w:tc>
      </w:tr>
      <w:tr w:rsidR="00AF456C" w:rsidRPr="00255AA1" w:rsidTr="00F14264">
        <w:trPr>
          <w:trHeight w:val="6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right="-11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351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right="-11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donacija iz proračuna grada Samobora (obračunski prihodi)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219.028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203.598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219.028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right="-11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353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right="-11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donacija pravnih osoba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500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1.000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15.000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right="-11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361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right="-11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Prihodi od naknade štete i refundacija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1.000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5.000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right="-11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363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right="-11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nespomenuti prihodi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2.577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2.000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right="-11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371</w:t>
            </w:r>
          </w:p>
        </w:tc>
        <w:tc>
          <w:tcPr>
            <w:tcW w:w="2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right="-11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Tekući prihodi od povezanih neprofitnih organizacija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119.662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 </w:t>
            </w:r>
          </w:p>
        </w:tc>
      </w:tr>
      <w:tr w:rsidR="00AF456C" w:rsidRPr="00255AA1" w:rsidTr="00F14264">
        <w:trPr>
          <w:trHeight w:val="300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 PRIHODI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3.413.225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924</w:t>
            </w: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260</w:t>
            </w: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169</w:t>
            </w: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028</w:t>
            </w: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F456C" w:rsidRPr="00255AA1" w:rsidTr="00F14264">
        <w:trPr>
          <w:trHeight w:val="178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AF456C" w:rsidRPr="00255AA1" w:rsidTr="00F14264">
        <w:trPr>
          <w:trHeight w:val="31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RASHODI</w:t>
            </w:r>
          </w:p>
        </w:tc>
      </w:tr>
      <w:tr w:rsidR="00AF456C" w:rsidRPr="00255AA1" w:rsidTr="00F14264">
        <w:trPr>
          <w:trHeight w:val="300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IZVOR  GRAD SAMOBOR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1.500.000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1.895.000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950</w:t>
            </w: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000</w:t>
            </w: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411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Plaće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1.127.027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1.125.791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169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503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412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rashodi za radnike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51.140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205.720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216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645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413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Doprinosi na plaće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174.536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172.329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179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612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Naknade troškova radnicima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124.170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55.200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440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F456C" w:rsidRPr="00255AA1" w:rsidTr="00F14264">
        <w:trPr>
          <w:trHeight w:val="6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422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Naknade članovima u predstavničkim i izvršnim tijelima, povjerenstvima i slično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23.127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35.960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28.800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425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300.000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300.000 </w:t>
            </w:r>
          </w:p>
        </w:tc>
      </w:tr>
      <w:tr w:rsidR="00AF456C" w:rsidRPr="00255AA1" w:rsidTr="00F14264">
        <w:trPr>
          <w:trHeight w:val="300"/>
        </w:trPr>
        <w:tc>
          <w:tcPr>
            <w:tcW w:w="28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IZVOR  USTANOVA S.O.S.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2.107.659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329</w:t>
            </w: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380</w:t>
            </w: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2.257.483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411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Plaće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12.287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9.000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250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826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412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rashodi za radnike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86.029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3.000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580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413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Doprinosi na plaće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2.252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386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421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Naknade troškova radnicima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3.087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.000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680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424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Naknade ostalim osobama izvan radnog odnosa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425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usluge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803.377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902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.627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824.119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426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Rashodi za materijal i energiju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844.593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.468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653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528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Ostali nespomenuti materijalni rashodi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59.333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.500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83.000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431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Amortizacija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291.120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270.535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257.483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443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financijski rashodi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5.582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6.000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6.000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451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Tekuće donacije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6.450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 </w:t>
            </w:r>
          </w:p>
        </w:tc>
      </w:tr>
      <w:tr w:rsidR="00AF456C" w:rsidRPr="00255AA1" w:rsidTr="00F14264">
        <w:trPr>
          <w:trHeight w:val="30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462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nespomenuti rashodi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0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5.000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1.000 </w:t>
            </w:r>
          </w:p>
        </w:tc>
      </w:tr>
      <w:tr w:rsidR="00AF456C" w:rsidRPr="00255AA1" w:rsidTr="00F14264">
        <w:trPr>
          <w:trHeight w:val="300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 RASHODI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3.607.659 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224</w:t>
            </w: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</w:t>
            </w: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 w:firstLine="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207</w:t>
            </w: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483</w:t>
            </w: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F456C" w:rsidRPr="00255AA1" w:rsidTr="00F14264">
        <w:trPr>
          <w:trHeight w:val="199"/>
        </w:trPr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AF456C" w:rsidRPr="00255AA1" w:rsidRDefault="00AF456C" w:rsidP="00AF456C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418" w:type="pct"/>
        <w:tblLayout w:type="fixed"/>
        <w:tblLook w:val="04A0" w:firstRow="1" w:lastRow="0" w:firstColumn="1" w:lastColumn="0" w:noHBand="0" w:noVBand="1"/>
      </w:tblPr>
      <w:tblGrid>
        <w:gridCol w:w="5636"/>
        <w:gridCol w:w="1385"/>
        <w:gridCol w:w="1412"/>
        <w:gridCol w:w="1387"/>
      </w:tblGrid>
      <w:tr w:rsidR="00AF456C" w:rsidRPr="00255AA1" w:rsidTr="00F14264">
        <w:trPr>
          <w:trHeight w:val="402"/>
        </w:trPr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56C" w:rsidRPr="00255AA1" w:rsidRDefault="00AF456C" w:rsidP="00F14264">
            <w:pPr>
              <w:spacing w:after="0"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REZLTAT POSLOVANJA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56C" w:rsidRPr="00255AA1" w:rsidRDefault="00AF456C" w:rsidP="00F14264">
            <w:pPr>
              <w:spacing w:after="0" w:line="276" w:lineRule="auto"/>
              <w:ind w:left="-142" w:firstLine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IZVRŠENJE 2020.g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56C" w:rsidRPr="00255AA1" w:rsidRDefault="00AF456C" w:rsidP="00F14264">
            <w:pPr>
              <w:spacing w:after="0" w:line="276" w:lineRule="auto"/>
              <w:ind w:left="-142" w:firstLine="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 xml:space="preserve">PLAN 2021.g </w:t>
            </w:r>
          </w:p>
          <w:p w:rsidR="00AF456C" w:rsidRPr="00255AA1" w:rsidRDefault="00AF456C" w:rsidP="00F14264">
            <w:pPr>
              <w:spacing w:after="0" w:line="276" w:lineRule="auto"/>
              <w:ind w:left="-142" w:firstLine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V</w:t>
            </w:r>
            <w:r w:rsidRPr="00255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. IZMJENE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56C" w:rsidRPr="00255AA1" w:rsidRDefault="00AF456C" w:rsidP="00F14264">
            <w:pPr>
              <w:spacing w:after="0" w:line="276" w:lineRule="auto"/>
              <w:ind w:left="-142" w:firstLine="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PLAN 2022.g</w:t>
            </w:r>
          </w:p>
        </w:tc>
      </w:tr>
      <w:tr w:rsidR="00AF456C" w:rsidRPr="00255AA1" w:rsidTr="00F14264">
        <w:trPr>
          <w:trHeight w:val="402"/>
        </w:trPr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UKUPNO PRIHODI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3.413.225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924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60 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169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028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F456C" w:rsidRPr="00255AA1" w:rsidTr="00F14264">
        <w:trPr>
          <w:trHeight w:val="402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UKUPNO RASHODI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3.607.659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224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80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207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483</w:t>
            </w:r>
            <w:r w:rsidRPr="0025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AF456C" w:rsidRPr="00255AA1" w:rsidTr="00F14264">
        <w:trPr>
          <w:trHeight w:val="402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REZULTAT POSLOVANJA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-194.434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-300.120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-38.455 </w:t>
            </w:r>
          </w:p>
        </w:tc>
      </w:tr>
      <w:tr w:rsidR="00AF456C" w:rsidRPr="00255AA1" w:rsidTr="00F14264">
        <w:trPr>
          <w:trHeight w:val="402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VIŠAK/MANJAK PRIHODA - PRENESENI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894.586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700</w:t>
            </w: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52</w:t>
            </w: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400.032 </w:t>
            </w:r>
          </w:p>
        </w:tc>
      </w:tr>
      <w:tr w:rsidR="00AF456C" w:rsidRPr="00255AA1" w:rsidTr="00F14264">
        <w:trPr>
          <w:trHeight w:val="402"/>
        </w:trPr>
        <w:tc>
          <w:tcPr>
            <w:tcW w:w="2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OSTATAK VIŠKA ZA PRIJENOS U NAREDNU GODINU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700.152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400.032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56C" w:rsidRPr="00255AA1" w:rsidRDefault="00AF456C" w:rsidP="00F14264">
            <w:pPr>
              <w:spacing w:after="0" w:line="276" w:lineRule="auto"/>
              <w:ind w:left="-14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55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361.577 </w:t>
            </w:r>
          </w:p>
        </w:tc>
      </w:tr>
      <w:bookmarkEnd w:id="0"/>
    </w:tbl>
    <w:p w:rsidR="00AF456C" w:rsidRPr="00255AA1" w:rsidRDefault="00AF456C" w:rsidP="00AF456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56C" w:rsidRPr="00255AA1" w:rsidRDefault="00AF456C" w:rsidP="00AF456C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AA1">
        <w:rPr>
          <w:rFonts w:ascii="Times New Roman" w:eastAsia="Calibri" w:hAnsi="Times New Roman" w:cs="Times New Roman"/>
          <w:sz w:val="24"/>
          <w:szCs w:val="24"/>
        </w:rPr>
        <w:t>Ukupni prihodi u financijskom planu za 2022. godinu planirani su na temelju saznanja o mogućim prihodima u 2022. godini u skladu s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prihodima</w:t>
      </w: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 iz proračuna </w:t>
      </w:r>
      <w:r>
        <w:rPr>
          <w:rFonts w:ascii="Times New Roman" w:eastAsia="Calibri" w:hAnsi="Times New Roman" w:cs="Times New Roman"/>
          <w:sz w:val="24"/>
          <w:szCs w:val="24"/>
        </w:rPr>
        <w:t>G</w:t>
      </w:r>
      <w:r w:rsidRPr="00255AA1">
        <w:rPr>
          <w:rFonts w:ascii="Times New Roman" w:eastAsia="Calibri" w:hAnsi="Times New Roman" w:cs="Times New Roman"/>
          <w:sz w:val="24"/>
          <w:szCs w:val="24"/>
        </w:rPr>
        <w:t>rada Samobora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 ostalih prihoda. Na osnovu navedenoga, planirani su </w:t>
      </w:r>
      <w:r>
        <w:rPr>
          <w:rFonts w:ascii="Times New Roman" w:eastAsia="Calibri" w:hAnsi="Times New Roman" w:cs="Times New Roman"/>
          <w:sz w:val="24"/>
          <w:szCs w:val="24"/>
        </w:rPr>
        <w:t>ukupni</w:t>
      </w: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 prihodi u iznosu od </w:t>
      </w:r>
      <w:bookmarkStart w:id="1" w:name="_Hlk531169683"/>
      <w:r w:rsidRPr="00255AA1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>169</w:t>
      </w:r>
      <w:r w:rsidRPr="00255A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028</w:t>
      </w: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 kune</w:t>
      </w:r>
      <w:bookmarkEnd w:id="1"/>
      <w:r w:rsidRPr="00255A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456C" w:rsidRPr="00255AA1" w:rsidRDefault="00AF456C" w:rsidP="00AF456C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Prihodi iz proračuna Grada Samobora planirani su u visini od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255A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950</w:t>
      </w:r>
      <w:r w:rsidRPr="00255A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00</w:t>
      </w: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 kn, dok su vlasti prihodi planirani u iznosu od 2.219.028 kn. </w:t>
      </w:r>
    </w:p>
    <w:p w:rsidR="00AF456C" w:rsidRPr="00255AA1" w:rsidRDefault="00AF456C" w:rsidP="00AF456C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456C" w:rsidRPr="00255AA1" w:rsidRDefault="00AF456C" w:rsidP="00AF456C">
      <w:pPr>
        <w:spacing w:line="276" w:lineRule="auto"/>
        <w:ind w:left="-142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255AA1">
        <w:rPr>
          <w:rFonts w:ascii="Times New Roman" w:eastAsia="Calibri" w:hAnsi="Times New Roman" w:cs="Times New Roman"/>
          <w:bCs/>
          <w:sz w:val="28"/>
          <w:szCs w:val="28"/>
          <w:u w:val="single"/>
        </w:rPr>
        <w:t>Obrazloženje prihoda po skupinama:</w:t>
      </w:r>
    </w:p>
    <w:p w:rsidR="00AF456C" w:rsidRPr="00255AA1" w:rsidRDefault="00AF456C" w:rsidP="00AF456C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55A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Prihodi od donacija iz proračuna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G</w:t>
      </w:r>
      <w:r w:rsidRPr="00255AA1">
        <w:rPr>
          <w:rFonts w:ascii="Times New Roman" w:eastAsia="Calibri" w:hAnsi="Times New Roman" w:cs="Times New Roman"/>
          <w:b/>
          <w:bCs/>
          <w:sz w:val="24"/>
          <w:szCs w:val="24"/>
        </w:rPr>
        <w:t>rada Samobora</w:t>
      </w: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AA1">
        <w:rPr>
          <w:rFonts w:ascii="Times New Roman" w:eastAsia="Calibri" w:hAnsi="Times New Roman" w:cs="Times New Roman"/>
          <w:sz w:val="24"/>
          <w:szCs w:val="24"/>
        </w:rPr>
        <w:t>Skupina 351 - prihodi od donacija iz proračuna grada Sam</w:t>
      </w:r>
      <w:r>
        <w:rPr>
          <w:rFonts w:ascii="Times New Roman" w:eastAsia="Calibri" w:hAnsi="Times New Roman" w:cs="Times New Roman"/>
          <w:sz w:val="24"/>
          <w:szCs w:val="24"/>
        </w:rPr>
        <w:t>obora planiraju se u visini od 1</w:t>
      </w:r>
      <w:r w:rsidRPr="00255A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950</w:t>
      </w:r>
      <w:r w:rsidRPr="00255A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000</w:t>
      </w: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 kn i to za redovnu djelatnost u iznosu od  1.</w:t>
      </w:r>
      <w:r>
        <w:rPr>
          <w:rFonts w:ascii="Times New Roman" w:eastAsia="Calibri" w:hAnsi="Times New Roman" w:cs="Times New Roman"/>
          <w:sz w:val="24"/>
          <w:szCs w:val="24"/>
        </w:rPr>
        <w:t>650</w:t>
      </w:r>
      <w:r w:rsidRPr="00255A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000</w:t>
      </w: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 kn i za rashode za usluge u visini od 300.000 kn</w:t>
      </w:r>
    </w:p>
    <w:p w:rsidR="00AF456C" w:rsidRPr="00255AA1" w:rsidRDefault="00AF456C" w:rsidP="00AF456C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AA1">
        <w:rPr>
          <w:rFonts w:ascii="Times New Roman" w:eastAsia="Calibri" w:hAnsi="Times New Roman" w:cs="Times New Roman"/>
          <w:b/>
          <w:bCs/>
          <w:sz w:val="24"/>
          <w:szCs w:val="24"/>
        </w:rPr>
        <w:t>Vlastiti prihodi Ustanove</w:t>
      </w: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 planirani su u iznosu od 2.219.028 kn a obuhvaćaju sljedeće skupine:</w:t>
      </w: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AA1">
        <w:rPr>
          <w:rFonts w:ascii="Times New Roman" w:eastAsia="Calibri" w:hAnsi="Times New Roman" w:cs="Times New Roman"/>
          <w:sz w:val="24"/>
          <w:szCs w:val="24"/>
        </w:rPr>
        <w:t>Skupina 311 - prihodi od prodaje roba i pružanja usluga obuhvaćaju p</w:t>
      </w:r>
      <w:r w:rsidRPr="0025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rihodi od pružanja usluga, prihodi od prodaje ulaznica, prihod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 naknada za režijske troškove i planirani su u iznosu od 660.000 kuna.</w:t>
      </w: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Skupina 341 -  prihodi od financijske imovine  obuhvaćaju prihode od financijske imovine u iznosu od 1.100 kuna a odnose se na kamate na depozite po viđenju i prihode od zateznih kamata. </w:t>
      </w: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Skupina 342 - prihodi od nefinancijske imovine  planirani su u iznosu od 1.316.900 kn, a sastoje se od  prihoda od najma poslovnih prostora i sportskih objekata. </w:t>
      </w: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A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Skupina 351 - prihodi od donacija iz proračuna grada Samobora (obračunski prihodi) planiraju se u iznosu od 219.028 kuna a odnose se na priznavanje odgođenih prihoda u prihode 2022. godine razmjerno troškovima amortizacije imovine čija je nabava financirana iz proračuna grada Samobora u proteklim godinama. </w:t>
      </w: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Skupina 353 - prihodi od donacija trgovačkih društava i ostalih pravnih osoba planirani su u iznosu od 15.000 kn</w:t>
      </w: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Skupina 361 – prihodi od naknade štete i refundacija planirani su u visini od 5.000 kn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Skupina 363 – ostali nespomenuti prihodi planirani su u iznosu od 2.000 kn.</w:t>
      </w: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55AA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Skupina 371 – tekući prihodi od povezanih neprofitnih organizacija nisu planirani u 2022.godini. </w:t>
      </w: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255AA1">
        <w:rPr>
          <w:rFonts w:ascii="Times New Roman" w:eastAsia="Calibri" w:hAnsi="Times New Roman" w:cs="Times New Roman"/>
          <w:bCs/>
          <w:sz w:val="28"/>
          <w:szCs w:val="28"/>
          <w:u w:val="single"/>
        </w:rPr>
        <w:t>Obrazloženje rashoda po skupinama:</w:t>
      </w: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AA1">
        <w:rPr>
          <w:rFonts w:ascii="Times New Roman" w:eastAsia="Calibri" w:hAnsi="Times New Roman" w:cs="Times New Roman"/>
          <w:sz w:val="24"/>
          <w:szCs w:val="24"/>
        </w:rPr>
        <w:t>U ovisnosti o planiranim prihodima i predloženom programu rada, planiraju se i rashodi  u iznosu od 4.</w:t>
      </w:r>
      <w:r>
        <w:rPr>
          <w:rFonts w:ascii="Times New Roman" w:eastAsia="Calibri" w:hAnsi="Times New Roman" w:cs="Times New Roman"/>
          <w:sz w:val="24"/>
          <w:szCs w:val="24"/>
        </w:rPr>
        <w:t>207</w:t>
      </w:r>
      <w:r w:rsidRPr="00255A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483</w:t>
      </w: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 kuna. </w:t>
      </w:r>
    </w:p>
    <w:p w:rsidR="00AF456C" w:rsidRPr="00255AA1" w:rsidRDefault="00AF456C" w:rsidP="006B7595">
      <w:pPr>
        <w:numPr>
          <w:ilvl w:val="0"/>
          <w:numId w:val="1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A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Rashodi koji se financiraju iz proračuna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G</w:t>
      </w:r>
      <w:r w:rsidRPr="00255A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rada Samobora </w:t>
      </w: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planirani su u iznosu od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255A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950</w:t>
      </w:r>
      <w:r w:rsidRPr="00255A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000</w:t>
      </w: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 kn a obuhvaćaju sljedeće skupine rashoda: </w:t>
      </w:r>
    </w:p>
    <w:p w:rsidR="00AF456C" w:rsidRPr="00255AA1" w:rsidRDefault="00AF456C" w:rsidP="006B7595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>Skupina 411 – plaće  su planirane u iznosu od 1.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169</w:t>
      </w: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503</w:t>
      </w: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kn, a obuhvaćaju rashode za bruto plaće 14 djelatnika zaposlena na neodređeno vrijeme, te plaće za 3 djelatnika zaposlena na klizalištu u razdoblju od 4 mjeseca, te jednog djelatnika zaposlenog na bazenu 3 mjeseca. </w:t>
      </w:r>
    </w:p>
    <w:p w:rsidR="00AF456C" w:rsidRPr="00255AA1" w:rsidRDefault="00AF456C" w:rsidP="006B7595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>Skupina 412 – ostali rashodi za radnike planirani su u visini od 2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16</w:t>
      </w: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645</w:t>
      </w: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kn, a odnose se na rashode  za nagrade, topli obrok i darove za radnike sukladno pravilniku o radu.</w:t>
      </w:r>
    </w:p>
    <w:p w:rsidR="00AF456C" w:rsidRPr="00255AA1" w:rsidRDefault="00AF456C" w:rsidP="006B7595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Skupina 413– doprinosi na plaće odnose se na doprinos za zdravstveno osiguranje i  planirani su u iznosu od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179</w:t>
      </w: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612</w:t>
      </w: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kn.</w:t>
      </w:r>
    </w:p>
    <w:p w:rsidR="00AF456C" w:rsidRPr="00255AA1" w:rsidRDefault="00AF456C" w:rsidP="006B7595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>Skupina 421– Naknade troškova radn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icima planirane su u iznosu od 55</w:t>
      </w: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440</w:t>
      </w: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kn i donose se na naknade troškova za prijevoz radnika.</w:t>
      </w:r>
    </w:p>
    <w:p w:rsidR="00AF456C" w:rsidRPr="00255AA1" w:rsidRDefault="00AF456C" w:rsidP="006B7595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Skupina 422– Naknade članovima u predstavničkim i izvršnim tijelima, povjerenstvima i slično odnose se na naknade članovima Upravnog vijeća i planirani su u visini od 28.800 kn za predviđenih 8 sjednica. </w:t>
      </w:r>
    </w:p>
    <w:p w:rsidR="00AF456C" w:rsidRPr="00255AA1" w:rsidRDefault="00AF456C" w:rsidP="006B7595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>Skupina 425– Rashodi za usluge planirani su u iznosu od 300.000 kn</w:t>
      </w:r>
    </w:p>
    <w:p w:rsidR="00AF456C" w:rsidRPr="006B7595" w:rsidRDefault="006B7595" w:rsidP="006B7595">
      <w:pPr>
        <w:numPr>
          <w:ilvl w:val="0"/>
          <w:numId w:val="2"/>
        </w:numPr>
        <w:spacing w:before="240" w:line="276" w:lineRule="auto"/>
        <w:ind w:left="-142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F456C" w:rsidRPr="00255AA1">
        <w:rPr>
          <w:rFonts w:ascii="Times New Roman" w:eastAsia="Calibri" w:hAnsi="Times New Roman" w:cs="Times New Roman"/>
          <w:b/>
          <w:bCs/>
          <w:sz w:val="24"/>
          <w:szCs w:val="24"/>
        </w:rPr>
        <w:t>Rashodi koji imaju pokriće u vlastitim prihodima</w:t>
      </w:r>
      <w:r w:rsidR="00AF456C" w:rsidRPr="00255AA1">
        <w:rPr>
          <w:rFonts w:ascii="Times New Roman" w:eastAsia="Calibri" w:hAnsi="Times New Roman" w:cs="Times New Roman"/>
          <w:sz w:val="24"/>
          <w:szCs w:val="24"/>
        </w:rPr>
        <w:t xml:space="preserve"> obuhvaćaju sljedeće skupine rashoda: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456C" w:rsidRPr="006B7595">
        <w:rPr>
          <w:rFonts w:ascii="Times New Roman" w:eastAsia="Calibri" w:hAnsi="Times New Roman" w:cs="Times New Roman"/>
          <w:sz w:val="24"/>
          <w:szCs w:val="24"/>
          <w:lang w:eastAsia="hr-HR"/>
        </w:rPr>
        <w:t>Skupina 411 – plaće,  planiran je dio plaća za redovan rad  i stimulacije za djelatnike sukladno Pravilniku o radu  u  iznosu od  250</w:t>
      </w:r>
      <w:r w:rsidR="00AF456C" w:rsidRPr="006B759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.826 </w:t>
      </w:r>
      <w:r w:rsidR="00AF456C" w:rsidRPr="006B7595">
        <w:rPr>
          <w:rFonts w:ascii="Times New Roman" w:eastAsia="Calibri" w:hAnsi="Times New Roman" w:cs="Times New Roman"/>
          <w:sz w:val="24"/>
          <w:szCs w:val="24"/>
          <w:lang w:eastAsia="hr-HR"/>
        </w:rPr>
        <w:t>kn.</w:t>
      </w:r>
    </w:p>
    <w:p w:rsidR="00AF456C" w:rsidRPr="00255AA1" w:rsidRDefault="00AF456C" w:rsidP="006B7595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Skupina 412 – ostali rashodi za radnike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planiraju se u iznosu od 13.580 kuna</w:t>
      </w: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:rsidR="00AF456C" w:rsidRDefault="00AF456C" w:rsidP="006B7595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Skupina 413 – doprinosi na plaće odnose se na doprinos za zdravstveno osiguranje na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dio plaća i </w:t>
      </w: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stimulacije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te su </w:t>
      </w: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 planirani su u iznosu od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41</w:t>
      </w: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386</w:t>
      </w: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kn.</w:t>
      </w:r>
    </w:p>
    <w:p w:rsidR="00AF456C" w:rsidRPr="00255AA1" w:rsidRDefault="00AF456C" w:rsidP="006B7595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>Skupina 421– Naknade troškova radn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icima planirane su u iznosu od 15</w:t>
      </w: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680</w:t>
      </w: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kn i donose se n</w:t>
      </w:r>
      <w:bookmarkStart w:id="2" w:name="_GoBack"/>
      <w:bookmarkEnd w:id="2"/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>a naknade troškova za prijevoz radnika</w:t>
      </w: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>Skupina 424 – naknade ostalim osobama izvan radnog odnosa, ne planiraju se u 2022. godini</w:t>
      </w: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Skupina 425 – Rashodi za usluge planirani su u iznosu od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653</w:t>
      </w: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528</w:t>
      </w: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kn, a obuhvaćaju rashode za usluge tekućeg investicijskog održavanja, usluge promidžbe i informiranja, komunalne usluge, zakupnine i najamnine, zdravstvene usluge, intelektualne i osobne usluge te ostale usluge. </w:t>
      </w: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Skupina 426 – Rashodi za materijal i energiju obuhvaćaju rashode za uredski materijal i ostale materijalne rashode, rashode za energiju i sitan inventar, a planirani su u iznosu od 935.000 kn. </w:t>
      </w: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>Skupina 429 – ostali nespomenuti materijalni rashodi planirani su u visini od 83.000 kn, a obuhvaćaju rashode za premije osiguranja, reprezentacije i ostale nespomenute rashode.</w:t>
      </w: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>Skupina 431 – rashodi amortizacije planirani su u iznosu od 257.483 kn.</w:t>
      </w: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 Plan se temelji na procjeni iznosa obračunate amortizacije, koja se provodi prema propisanim stopama na nabavljenu dugotrajnu imovinu. Rashodi amortizacije koji imaju pokriće u odgođenim prihodima iz proračuna grada Samobora iznose 219.028 kn, dok amortizacija imovine nabavljene iz vlastitih izvora iznosi 38.455 kn i pokriva se iz prenesenog viška prihoda.  </w:t>
      </w: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Skupina 443 – ostali financijski rashodi </w:t>
      </w:r>
      <w:r w:rsidRPr="00255AA1">
        <w:rPr>
          <w:rFonts w:ascii="Times New Roman" w:eastAsia="Calibri" w:hAnsi="Times New Roman" w:cs="Times New Roman"/>
          <w:sz w:val="24"/>
          <w:szCs w:val="24"/>
        </w:rPr>
        <w:t>obuhvaćaju rashode za bankarske usluge i usluge platnog prometa u iznosu od 6.000 kuna.</w:t>
      </w: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>Skupina 451 – tekuće donacije nisu planirane u 2022. godini.</w:t>
      </w: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Skupina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462 – ostali nespomenuti rashodi</w:t>
      </w:r>
      <w:r w:rsidRPr="00255AA1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odnose se na rashode vezane uz otpis potraživanja i planirani su u iznosu od 1.000 kn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:rsidR="00AF456C" w:rsidRPr="00255AA1" w:rsidRDefault="00AF456C" w:rsidP="00AF456C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AA1">
        <w:rPr>
          <w:rFonts w:ascii="Times New Roman" w:eastAsia="Calibri" w:hAnsi="Times New Roman" w:cs="Times New Roman"/>
          <w:sz w:val="24"/>
          <w:szCs w:val="24"/>
        </w:rPr>
        <w:t>Iz navedenoga proizlazi da su za 2022. godinu ukupni prihodi planirani u iznosu od 4.</w:t>
      </w:r>
      <w:r>
        <w:rPr>
          <w:rFonts w:ascii="Times New Roman" w:eastAsia="Calibri" w:hAnsi="Times New Roman" w:cs="Times New Roman"/>
          <w:sz w:val="24"/>
          <w:szCs w:val="24"/>
        </w:rPr>
        <w:t>169</w:t>
      </w:r>
      <w:r w:rsidRPr="00255A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028</w:t>
      </w: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 kuna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 a rashodi u ukupnom iznosu od 4.</w:t>
      </w:r>
      <w:r>
        <w:rPr>
          <w:rFonts w:ascii="Times New Roman" w:eastAsia="Calibri" w:hAnsi="Times New Roman" w:cs="Times New Roman"/>
          <w:sz w:val="24"/>
          <w:szCs w:val="24"/>
        </w:rPr>
        <w:t>207</w:t>
      </w:r>
      <w:r w:rsidRPr="00255AA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483</w:t>
      </w: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 kuna. Planirani  manjak prihoda tekuće godine  iznosi 38.455 kuna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Manjak prihoda posljedica je rashoda </w:t>
      </w:r>
      <w:r w:rsidRPr="00255AA1">
        <w:rPr>
          <w:rFonts w:ascii="Times New Roman" w:eastAsia="Calibri" w:hAnsi="Times New Roman" w:cs="Times New Roman"/>
          <w:sz w:val="24"/>
          <w:szCs w:val="24"/>
        </w:rPr>
        <w:t>amortizacij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 imovine nabavljene iz vlastitih izvora</w:t>
      </w:r>
      <w:r>
        <w:rPr>
          <w:rFonts w:ascii="Times New Roman" w:eastAsia="Calibri" w:hAnsi="Times New Roman" w:cs="Times New Roman"/>
          <w:sz w:val="24"/>
          <w:szCs w:val="24"/>
        </w:rPr>
        <w:t xml:space="preserve">. Pokriće manjka planira se iz prenesenog viška prihoda ranijih </w:t>
      </w: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razdoblja. Planirani ostatak viška za prijenos u 2023. godinu  iznosi </w:t>
      </w:r>
      <w:r w:rsidRPr="00255A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361.577 kn.</w:t>
      </w:r>
    </w:p>
    <w:p w:rsidR="00AF456C" w:rsidRPr="00255AA1" w:rsidRDefault="00AF456C" w:rsidP="00AF456C">
      <w:pPr>
        <w:spacing w:after="0"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AA1">
        <w:rPr>
          <w:rFonts w:ascii="Times New Roman" w:eastAsia="Calibri" w:hAnsi="Times New Roman" w:cs="Times New Roman"/>
          <w:sz w:val="24"/>
          <w:szCs w:val="24"/>
        </w:rPr>
        <w:t>Ustanova se tijekom 2022. godine n</w:t>
      </w:r>
      <w:r>
        <w:rPr>
          <w:rFonts w:ascii="Times New Roman" w:eastAsia="Calibri" w:hAnsi="Times New Roman" w:cs="Times New Roman"/>
          <w:sz w:val="24"/>
          <w:szCs w:val="24"/>
        </w:rPr>
        <w:t>e planira</w:t>
      </w: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 kratkoročno zaduživati, niti davati kratkoročne zajmove.</w:t>
      </w: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AA1">
        <w:rPr>
          <w:rFonts w:ascii="Times New Roman" w:eastAsia="Calibri" w:hAnsi="Times New Roman" w:cs="Times New Roman"/>
          <w:sz w:val="24"/>
          <w:szCs w:val="24"/>
        </w:rPr>
        <w:t>Ustanova nema obaveza za povrat kratkoročnih zajmova iz prethodne godine.</w:t>
      </w:r>
    </w:p>
    <w:p w:rsidR="00AF456C" w:rsidRDefault="00AF456C" w:rsidP="00AF456C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56C" w:rsidRPr="00255AA1" w:rsidRDefault="00AF456C" w:rsidP="00AF456C">
      <w:pPr>
        <w:spacing w:line="276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AA1">
        <w:rPr>
          <w:rFonts w:ascii="Times New Roman" w:eastAsia="Calibri" w:hAnsi="Times New Roman" w:cs="Times New Roman"/>
          <w:sz w:val="24"/>
          <w:szCs w:val="24"/>
        </w:rPr>
        <w:t>U Samoboru</w:t>
      </w:r>
      <w:r>
        <w:rPr>
          <w:rFonts w:ascii="Times New Roman" w:eastAsia="Calibri" w:hAnsi="Times New Roman" w:cs="Times New Roman"/>
          <w:sz w:val="24"/>
          <w:szCs w:val="24"/>
        </w:rPr>
        <w:t xml:space="preserve"> 30. 12.</w:t>
      </w: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 2021. godin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255A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AF456C" w:rsidRPr="00255AA1" w:rsidRDefault="00AF456C" w:rsidP="00AF456C">
      <w:pPr>
        <w:tabs>
          <w:tab w:val="left" w:pos="6379"/>
        </w:tabs>
        <w:spacing w:after="0" w:line="276" w:lineRule="auto"/>
        <w:ind w:left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55A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</w:t>
      </w:r>
      <w:r w:rsidRPr="00255AA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Predsjednik Upravnog vijeća  Ustanove </w:t>
      </w:r>
    </w:p>
    <w:p w:rsidR="00AF456C" w:rsidRPr="00255AA1" w:rsidRDefault="00AF456C" w:rsidP="00AF456C">
      <w:pPr>
        <w:tabs>
          <w:tab w:val="left" w:pos="6379"/>
        </w:tabs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55AA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Sportski objekti Samobor</w:t>
      </w:r>
    </w:p>
    <w:p w:rsidR="00AF456C" w:rsidRPr="00FD7987" w:rsidRDefault="00AF456C" w:rsidP="00AF456C">
      <w:pPr>
        <w:tabs>
          <w:tab w:val="left" w:pos="6379"/>
        </w:tabs>
        <w:spacing w:after="0" w:line="276" w:lineRule="auto"/>
        <w:ind w:left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255AA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Marko Matijaščić, mag. </w:t>
      </w:r>
      <w:proofErr w:type="spellStart"/>
      <w:r w:rsidRPr="00255AA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oec</w:t>
      </w:r>
      <w:proofErr w:type="spellEnd"/>
      <w:r w:rsidRPr="00255AA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68579A" w:rsidRDefault="0068579A"/>
    <w:sectPr w:rsidR="0068579A" w:rsidSect="009A5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B0E83"/>
    <w:multiLevelType w:val="hybridMultilevel"/>
    <w:tmpl w:val="CF0227CC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756A2C3A"/>
    <w:multiLevelType w:val="hybridMultilevel"/>
    <w:tmpl w:val="894A76CA"/>
    <w:lvl w:ilvl="0" w:tplc="04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6C"/>
    <w:rsid w:val="00312894"/>
    <w:rsid w:val="005522B7"/>
    <w:rsid w:val="0068579A"/>
    <w:rsid w:val="006B7595"/>
    <w:rsid w:val="00A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68D9"/>
  <w15:chartTrackingRefBased/>
  <w15:docId w15:val="{12AF015A-F0D0-46BF-9912-B6920109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5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1332</Words>
  <Characters>7599</Characters>
  <Application>Microsoft Office Word</Application>
  <DocSecurity>0</DocSecurity>
  <Lines>63</Lines>
  <Paragraphs>17</Paragraphs>
  <ScaleCrop>false</ScaleCrop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4</cp:revision>
  <dcterms:created xsi:type="dcterms:W3CDTF">2021-12-30T14:08:00Z</dcterms:created>
  <dcterms:modified xsi:type="dcterms:W3CDTF">2022-01-14T09:52:00Z</dcterms:modified>
</cp:coreProperties>
</file>