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834C" w14:textId="77777777" w:rsidR="00AB75DB" w:rsidRPr="00AB75DB" w:rsidRDefault="00AB75DB">
      <w:pPr>
        <w:rPr>
          <w:b/>
          <w:bCs/>
        </w:rPr>
      </w:pPr>
      <w:r w:rsidRPr="00AB75DB">
        <w:rPr>
          <w:b/>
          <w:bCs/>
        </w:rPr>
        <w:t>PUČKO OTVORENO UČILIŠTE SAMOBOR</w:t>
      </w:r>
    </w:p>
    <w:p w14:paraId="760FAC95" w14:textId="77777777" w:rsidR="00AB75DB" w:rsidRPr="00AB75DB" w:rsidRDefault="00AB75DB">
      <w:pPr>
        <w:rPr>
          <w:b/>
          <w:bCs/>
        </w:rPr>
      </w:pPr>
      <w:r w:rsidRPr="00AB75DB">
        <w:rPr>
          <w:b/>
          <w:bCs/>
        </w:rPr>
        <w:t>TRG MATICE HRVATSKE 3, SAMOBOR</w:t>
      </w:r>
    </w:p>
    <w:p w14:paraId="525CD641" w14:textId="77777777" w:rsidR="00AB75DB" w:rsidRDefault="00AB75DB">
      <w:pPr>
        <w:rPr>
          <w:b/>
          <w:bCs/>
        </w:rPr>
      </w:pPr>
      <w:r w:rsidRPr="00AB75DB">
        <w:rPr>
          <w:b/>
          <w:bCs/>
        </w:rPr>
        <w:t>OIB: 37111215032</w:t>
      </w:r>
    </w:p>
    <w:p w14:paraId="4E944B69" w14:textId="77777777" w:rsidR="009064E7" w:rsidRDefault="009064E7">
      <w:pPr>
        <w:rPr>
          <w:b/>
          <w:bCs/>
        </w:rPr>
      </w:pPr>
    </w:p>
    <w:p w14:paraId="2A1DE625" w14:textId="77777777" w:rsidR="00AB75DB" w:rsidRDefault="00AB75DB">
      <w:pPr>
        <w:rPr>
          <w:b/>
          <w:bCs/>
        </w:rPr>
      </w:pPr>
    </w:p>
    <w:p w14:paraId="5812DB9A" w14:textId="77777777" w:rsidR="009064E7" w:rsidRPr="009064E7" w:rsidRDefault="004119A8" w:rsidP="009064E7">
      <w:pPr>
        <w:jc w:val="center"/>
        <w:rPr>
          <w:b/>
          <w:bCs/>
          <w:sz w:val="28"/>
          <w:szCs w:val="28"/>
        </w:rPr>
      </w:pPr>
      <w:r w:rsidRPr="009064E7">
        <w:rPr>
          <w:b/>
          <w:bCs/>
          <w:sz w:val="28"/>
          <w:szCs w:val="28"/>
        </w:rPr>
        <w:t>BILJEŠKE UZ FINANCIJSKE IZVJEŠTAJE  U RAZDOBLJU OD</w:t>
      </w:r>
    </w:p>
    <w:p w14:paraId="667F8BB1" w14:textId="0029E52E" w:rsidR="00AB75DB" w:rsidRDefault="004119A8" w:rsidP="009064E7">
      <w:pPr>
        <w:jc w:val="center"/>
        <w:rPr>
          <w:b/>
          <w:bCs/>
          <w:sz w:val="28"/>
          <w:szCs w:val="28"/>
        </w:rPr>
      </w:pPr>
      <w:r w:rsidRPr="009064E7">
        <w:rPr>
          <w:b/>
          <w:bCs/>
          <w:sz w:val="28"/>
          <w:szCs w:val="28"/>
        </w:rPr>
        <w:t>01.</w:t>
      </w:r>
      <w:r w:rsidR="00E0657F">
        <w:rPr>
          <w:b/>
          <w:bCs/>
          <w:sz w:val="28"/>
          <w:szCs w:val="28"/>
        </w:rPr>
        <w:t xml:space="preserve">siječnja </w:t>
      </w:r>
      <w:r w:rsidR="009064E7" w:rsidRPr="009064E7">
        <w:rPr>
          <w:b/>
          <w:bCs/>
          <w:sz w:val="28"/>
          <w:szCs w:val="28"/>
        </w:rPr>
        <w:t xml:space="preserve"> -</w:t>
      </w:r>
      <w:r w:rsidR="001D72A3">
        <w:rPr>
          <w:b/>
          <w:bCs/>
          <w:sz w:val="28"/>
          <w:szCs w:val="28"/>
        </w:rPr>
        <w:t xml:space="preserve"> 31.prosinca</w:t>
      </w:r>
      <w:r w:rsidR="009064E7" w:rsidRPr="009064E7">
        <w:rPr>
          <w:b/>
          <w:bCs/>
          <w:sz w:val="28"/>
          <w:szCs w:val="28"/>
        </w:rPr>
        <w:t xml:space="preserve"> 2020.</w:t>
      </w:r>
    </w:p>
    <w:p w14:paraId="461F02F5" w14:textId="77777777" w:rsidR="009064E7" w:rsidRDefault="009064E7" w:rsidP="009064E7">
      <w:pPr>
        <w:rPr>
          <w:b/>
          <w:bCs/>
          <w:sz w:val="28"/>
          <w:szCs w:val="28"/>
        </w:rPr>
      </w:pPr>
    </w:p>
    <w:p w14:paraId="2EC13BEF" w14:textId="77777777" w:rsidR="009064E7" w:rsidRDefault="009064E7" w:rsidP="009064E7">
      <w:pPr>
        <w:rPr>
          <w:b/>
          <w:bCs/>
        </w:rPr>
      </w:pPr>
    </w:p>
    <w:p w14:paraId="46250BE0" w14:textId="77777777" w:rsidR="009064E7" w:rsidRDefault="009064E7" w:rsidP="009064E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Bilješke uz PR-RAS</w:t>
      </w:r>
    </w:p>
    <w:p w14:paraId="1645783A" w14:textId="77777777" w:rsidR="009064E7" w:rsidRDefault="009064E7" w:rsidP="009064E7">
      <w:pPr>
        <w:rPr>
          <w:b/>
          <w:bCs/>
        </w:rPr>
      </w:pPr>
    </w:p>
    <w:p w14:paraId="02221979" w14:textId="77777777" w:rsidR="009064E7" w:rsidRPr="001D72A3" w:rsidRDefault="009064E7" w:rsidP="009064E7">
      <w:pPr>
        <w:rPr>
          <w:b/>
          <w:bCs/>
        </w:rPr>
      </w:pPr>
      <w:r w:rsidRPr="001D72A3">
        <w:rPr>
          <w:b/>
          <w:bCs/>
        </w:rPr>
        <w:t xml:space="preserve">Bilješka broj 1. – Ukupni prihodi  AOP – 001 </w:t>
      </w:r>
    </w:p>
    <w:p w14:paraId="7137E69C" w14:textId="2AEF8E23" w:rsidR="005D32FC" w:rsidRDefault="005D32FC" w:rsidP="009064E7">
      <w:r>
        <w:t xml:space="preserve">U  izvještajnom razdoblju ostvareni su ukupni prihodi od </w:t>
      </w:r>
      <w:r w:rsidR="00EA10CB">
        <w:t>5.698.148</w:t>
      </w:r>
      <w:r>
        <w:t xml:space="preserve"> kn, a koje čine:</w:t>
      </w:r>
    </w:p>
    <w:p w14:paraId="38F768E8" w14:textId="62A1583D" w:rsidR="00EA10CB" w:rsidRDefault="00EA10CB" w:rsidP="009064E7">
      <w:r w:rsidRPr="00EA10CB">
        <w:rPr>
          <w:noProof/>
          <w:lang w:eastAsia="hr-HR"/>
        </w:rPr>
        <w:drawing>
          <wp:inline distT="0" distB="0" distL="0" distR="0" wp14:anchorId="4C080A4E" wp14:editId="2B0D9CBD">
            <wp:extent cx="5760720" cy="24517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8F9C" w14:textId="77777777" w:rsidR="00046A87" w:rsidRDefault="00046A87" w:rsidP="009064E7"/>
    <w:p w14:paraId="042705BA" w14:textId="48905EF1" w:rsidR="005D32FC" w:rsidRDefault="00046A87" w:rsidP="005D32FC">
      <w:pPr>
        <w:jc w:val="both"/>
      </w:pPr>
      <w:r>
        <w:t>AOP (131) - n</w:t>
      </w:r>
      <w:r w:rsidR="005D32FC">
        <w:t>ajznačajniji prihod u strukturi ukupnih prihoda je prihod iz nadležnog proračuna za financiranje rashod poslovanja  koji sudjeluje u ukupnim prihodima sa 6</w:t>
      </w:r>
      <w:r w:rsidR="00F315CD">
        <w:t>9</w:t>
      </w:r>
      <w:r w:rsidR="005D32FC">
        <w:t xml:space="preserve">%. Došlo je do smanjenja u odnosu na 2019. g. za </w:t>
      </w:r>
      <w:r w:rsidR="00F315CD">
        <w:t>7,65</w:t>
      </w:r>
      <w:r w:rsidR="005D32FC">
        <w:t>%.</w:t>
      </w:r>
    </w:p>
    <w:p w14:paraId="681370EE" w14:textId="4F79FC09" w:rsidR="00046A87" w:rsidRDefault="00046A87" w:rsidP="005D32FC">
      <w:pPr>
        <w:jc w:val="both"/>
      </w:pPr>
      <w:r>
        <w:t xml:space="preserve">AOP (127) – donacije su </w:t>
      </w:r>
      <w:r w:rsidR="00F315CD">
        <w:t>ostale na približno jednakoj razini kao i u 2019.g</w:t>
      </w:r>
    </w:p>
    <w:p w14:paraId="4CE05BC9" w14:textId="65F641B0" w:rsidR="00046A87" w:rsidRDefault="00046A87" w:rsidP="005D32FC">
      <w:pPr>
        <w:jc w:val="both"/>
      </w:pPr>
      <w:r>
        <w:t xml:space="preserve">AOP (124) – prihodi od pruženih usluga su se smanjili u odnosu na 2019. g. za </w:t>
      </w:r>
      <w:r w:rsidR="00F315CD">
        <w:t>33</w:t>
      </w:r>
      <w:r>
        <w:t>%, a na smanjenje je najvećim dijelom utjecala situacije vezana uz COVID 19, zbog čega su mnoge aktivnosti bile prekinute.</w:t>
      </w:r>
    </w:p>
    <w:p w14:paraId="562E1B7D" w14:textId="77777777" w:rsidR="00046A87" w:rsidRDefault="00046A87" w:rsidP="005D32FC">
      <w:pPr>
        <w:jc w:val="both"/>
      </w:pPr>
      <w:r>
        <w:t>AOP ( 066) – pomoći temeljem prijenosa EU sredstava odnose se na sredstva uplaćena za projekte GASTRO I MJESTO ZA NAS</w:t>
      </w:r>
    </w:p>
    <w:p w14:paraId="41E172B6" w14:textId="77777777" w:rsidR="00046A87" w:rsidRDefault="00046A87" w:rsidP="005D32FC">
      <w:pPr>
        <w:jc w:val="both"/>
      </w:pPr>
      <w:r>
        <w:lastRenderedPageBreak/>
        <w:t xml:space="preserve">AOP (063) – pomoći proračunskim korisnicima iz </w:t>
      </w:r>
      <w:r w:rsidR="00FE334D">
        <w:t>proračuna koji im nije nadležan odnose se  na uplate iz DP za organizacije raznih projekata kao što su Samoborske glazbene jeseni, Dani plesa, Pax, Kino Samobor.</w:t>
      </w:r>
    </w:p>
    <w:p w14:paraId="00FA83F7" w14:textId="77777777" w:rsidR="00FE334D" w:rsidRDefault="00FE334D" w:rsidP="005D32FC">
      <w:pPr>
        <w:jc w:val="both"/>
      </w:pPr>
      <w:r>
        <w:t>AOP (057) – odnosi se na uplate od HZZO-a za doprinose za stručno osposobljavanje za rad bez zasnivanja radnog odnosa</w:t>
      </w:r>
    </w:p>
    <w:p w14:paraId="532EA7FC" w14:textId="77777777" w:rsidR="00FE334D" w:rsidRPr="001D72A3" w:rsidRDefault="00FE334D" w:rsidP="005D32FC">
      <w:pPr>
        <w:jc w:val="both"/>
        <w:rPr>
          <w:b/>
          <w:bCs/>
        </w:rPr>
      </w:pPr>
      <w:r w:rsidRPr="001D72A3">
        <w:rPr>
          <w:b/>
          <w:bCs/>
        </w:rPr>
        <w:t xml:space="preserve">Bilješka br. 2 – Ukupni rashodi  AOP ( 404) </w:t>
      </w:r>
    </w:p>
    <w:p w14:paraId="3FEF50AA" w14:textId="0FAC9A5A" w:rsidR="00FE334D" w:rsidRDefault="00FE334D" w:rsidP="00FE334D">
      <w:r>
        <w:t xml:space="preserve">U  izvještajnom razdoblju ostvareni su ukupni rashodi  od </w:t>
      </w:r>
      <w:r w:rsidR="00F315CD">
        <w:t>6.044.300</w:t>
      </w:r>
      <w:r>
        <w:t xml:space="preserve"> kn, a koje čine: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"/>
        <w:gridCol w:w="673"/>
        <w:gridCol w:w="3132"/>
        <w:gridCol w:w="1265"/>
        <w:gridCol w:w="1298"/>
        <w:gridCol w:w="909"/>
        <w:gridCol w:w="1183"/>
      </w:tblGrid>
      <w:tr w:rsidR="001D72A3" w:rsidRPr="001D72A3" w14:paraId="226D6ACB" w14:textId="77777777" w:rsidTr="001D72A3">
        <w:trPr>
          <w:trHeight w:val="300"/>
        </w:trPr>
        <w:tc>
          <w:tcPr>
            <w:tcW w:w="597" w:type="dxa"/>
            <w:noWrap/>
            <w:hideMark/>
          </w:tcPr>
          <w:p w14:paraId="53757A22" w14:textId="77777777" w:rsidR="001D72A3" w:rsidRPr="001D72A3" w:rsidRDefault="001D72A3" w:rsidP="001D72A3">
            <w:pPr>
              <w:jc w:val="both"/>
            </w:pPr>
            <w:r w:rsidRPr="001D72A3">
              <w:t>AOP</w:t>
            </w:r>
          </w:p>
        </w:tc>
        <w:tc>
          <w:tcPr>
            <w:tcW w:w="674" w:type="dxa"/>
            <w:noWrap/>
            <w:hideMark/>
          </w:tcPr>
          <w:p w14:paraId="5CDB3966" w14:textId="77777777" w:rsidR="001D72A3" w:rsidRPr="001D72A3" w:rsidRDefault="001D72A3" w:rsidP="001D72A3">
            <w:pPr>
              <w:jc w:val="both"/>
            </w:pPr>
            <w:proofErr w:type="spellStart"/>
            <w:r w:rsidRPr="001D72A3">
              <w:t>Rač</w:t>
            </w:r>
            <w:proofErr w:type="spellEnd"/>
          </w:p>
        </w:tc>
        <w:tc>
          <w:tcPr>
            <w:tcW w:w="3135" w:type="dxa"/>
            <w:noWrap/>
            <w:hideMark/>
          </w:tcPr>
          <w:p w14:paraId="6135F018" w14:textId="77777777" w:rsidR="001D72A3" w:rsidRPr="001D72A3" w:rsidRDefault="001D72A3" w:rsidP="001D72A3">
            <w:pPr>
              <w:jc w:val="both"/>
            </w:pPr>
            <w:r w:rsidRPr="001D72A3">
              <w:t>Opis</w:t>
            </w:r>
          </w:p>
        </w:tc>
        <w:tc>
          <w:tcPr>
            <w:tcW w:w="1266" w:type="dxa"/>
            <w:noWrap/>
            <w:hideMark/>
          </w:tcPr>
          <w:p w14:paraId="6D48B417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1299" w:type="dxa"/>
            <w:noWrap/>
            <w:hideMark/>
          </w:tcPr>
          <w:p w14:paraId="1931BB5D" w14:textId="77777777" w:rsidR="001D72A3" w:rsidRPr="001D72A3" w:rsidRDefault="001D72A3" w:rsidP="001D72A3">
            <w:pPr>
              <w:jc w:val="both"/>
            </w:pPr>
            <w:r w:rsidRPr="001D72A3">
              <w:t>Ostvareno</w:t>
            </w:r>
          </w:p>
        </w:tc>
        <w:tc>
          <w:tcPr>
            <w:tcW w:w="907" w:type="dxa"/>
            <w:noWrap/>
            <w:hideMark/>
          </w:tcPr>
          <w:p w14:paraId="23ED8C92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1184" w:type="dxa"/>
            <w:noWrap/>
            <w:hideMark/>
          </w:tcPr>
          <w:p w14:paraId="6B366FD7" w14:textId="77777777" w:rsidR="001D72A3" w:rsidRPr="001D72A3" w:rsidRDefault="001D72A3" w:rsidP="001D72A3">
            <w:pPr>
              <w:jc w:val="both"/>
            </w:pPr>
            <w:proofErr w:type="spellStart"/>
            <w:r w:rsidRPr="001D72A3">
              <w:t>Strukt</w:t>
            </w:r>
            <w:proofErr w:type="spellEnd"/>
            <w:r w:rsidRPr="001D72A3">
              <w:t>.</w:t>
            </w:r>
          </w:p>
        </w:tc>
      </w:tr>
      <w:tr w:rsidR="001D72A3" w:rsidRPr="001D72A3" w14:paraId="061BC242" w14:textId="77777777" w:rsidTr="001D72A3">
        <w:trPr>
          <w:trHeight w:val="300"/>
        </w:trPr>
        <w:tc>
          <w:tcPr>
            <w:tcW w:w="597" w:type="dxa"/>
            <w:noWrap/>
            <w:hideMark/>
          </w:tcPr>
          <w:p w14:paraId="5AA69F92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674" w:type="dxa"/>
            <w:noWrap/>
            <w:hideMark/>
          </w:tcPr>
          <w:p w14:paraId="45449C39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3135" w:type="dxa"/>
            <w:noWrap/>
            <w:hideMark/>
          </w:tcPr>
          <w:p w14:paraId="742A1E08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1266" w:type="dxa"/>
            <w:noWrap/>
            <w:hideMark/>
          </w:tcPr>
          <w:p w14:paraId="0ECF0542" w14:textId="77777777" w:rsidR="001D72A3" w:rsidRPr="001D72A3" w:rsidRDefault="001D72A3" w:rsidP="001D72A3">
            <w:pPr>
              <w:jc w:val="both"/>
            </w:pPr>
            <w:r w:rsidRPr="001D72A3">
              <w:t>2019.g.</w:t>
            </w:r>
          </w:p>
        </w:tc>
        <w:tc>
          <w:tcPr>
            <w:tcW w:w="1299" w:type="dxa"/>
            <w:noWrap/>
            <w:hideMark/>
          </w:tcPr>
          <w:p w14:paraId="37095B44" w14:textId="77777777" w:rsidR="001D72A3" w:rsidRPr="001D72A3" w:rsidRDefault="001D72A3" w:rsidP="001D72A3">
            <w:pPr>
              <w:jc w:val="both"/>
            </w:pPr>
            <w:r w:rsidRPr="001D72A3">
              <w:t>2020.g.</w:t>
            </w:r>
          </w:p>
        </w:tc>
        <w:tc>
          <w:tcPr>
            <w:tcW w:w="907" w:type="dxa"/>
            <w:noWrap/>
            <w:hideMark/>
          </w:tcPr>
          <w:p w14:paraId="7CFF1292" w14:textId="77777777" w:rsidR="001D72A3" w:rsidRPr="001D72A3" w:rsidRDefault="001D72A3" w:rsidP="001D72A3">
            <w:pPr>
              <w:jc w:val="both"/>
            </w:pPr>
            <w:r w:rsidRPr="001D72A3">
              <w:t>%</w:t>
            </w:r>
          </w:p>
        </w:tc>
        <w:tc>
          <w:tcPr>
            <w:tcW w:w="1184" w:type="dxa"/>
            <w:noWrap/>
            <w:hideMark/>
          </w:tcPr>
          <w:p w14:paraId="60786732" w14:textId="77777777" w:rsidR="001D72A3" w:rsidRPr="001D72A3" w:rsidRDefault="001D72A3" w:rsidP="001D72A3">
            <w:pPr>
              <w:jc w:val="both"/>
            </w:pPr>
            <w:r w:rsidRPr="001D72A3">
              <w:t>%</w:t>
            </w:r>
          </w:p>
        </w:tc>
      </w:tr>
      <w:tr w:rsidR="001D72A3" w:rsidRPr="001D72A3" w14:paraId="5F6DF2DF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71F81053" w14:textId="77777777" w:rsidR="001D72A3" w:rsidRPr="001D72A3" w:rsidRDefault="001D72A3" w:rsidP="001D72A3">
            <w:pPr>
              <w:jc w:val="both"/>
            </w:pPr>
            <w:r w:rsidRPr="001D72A3">
              <w:t>150</w:t>
            </w:r>
          </w:p>
        </w:tc>
        <w:tc>
          <w:tcPr>
            <w:tcW w:w="674" w:type="dxa"/>
            <w:noWrap/>
            <w:hideMark/>
          </w:tcPr>
          <w:p w14:paraId="549742C0" w14:textId="77777777" w:rsidR="001D72A3" w:rsidRPr="001D72A3" w:rsidRDefault="001D72A3" w:rsidP="001D72A3">
            <w:pPr>
              <w:jc w:val="both"/>
            </w:pPr>
            <w:r w:rsidRPr="001D72A3">
              <w:t>311</w:t>
            </w:r>
          </w:p>
        </w:tc>
        <w:tc>
          <w:tcPr>
            <w:tcW w:w="3135" w:type="dxa"/>
            <w:hideMark/>
          </w:tcPr>
          <w:p w14:paraId="49E8B0AB" w14:textId="77777777" w:rsidR="001D72A3" w:rsidRPr="001D72A3" w:rsidRDefault="001D72A3" w:rsidP="001D72A3">
            <w:pPr>
              <w:jc w:val="both"/>
            </w:pPr>
            <w:r w:rsidRPr="001D72A3">
              <w:t>Plaće (bruto)</w:t>
            </w:r>
          </w:p>
        </w:tc>
        <w:tc>
          <w:tcPr>
            <w:tcW w:w="1266" w:type="dxa"/>
            <w:noWrap/>
            <w:hideMark/>
          </w:tcPr>
          <w:p w14:paraId="7ECE5FB1" w14:textId="77777777" w:rsidR="001D72A3" w:rsidRPr="001D72A3" w:rsidRDefault="001D72A3" w:rsidP="001D72A3">
            <w:pPr>
              <w:jc w:val="both"/>
            </w:pPr>
            <w:r w:rsidRPr="001D72A3">
              <w:t xml:space="preserve">        1.790.086    </w:t>
            </w:r>
          </w:p>
        </w:tc>
        <w:tc>
          <w:tcPr>
            <w:tcW w:w="1299" w:type="dxa"/>
            <w:noWrap/>
            <w:hideMark/>
          </w:tcPr>
          <w:p w14:paraId="4E3A05C2" w14:textId="77777777" w:rsidR="001D72A3" w:rsidRPr="001D72A3" w:rsidRDefault="001D72A3" w:rsidP="001D72A3">
            <w:pPr>
              <w:jc w:val="both"/>
            </w:pPr>
            <w:r w:rsidRPr="001D72A3">
              <w:t xml:space="preserve">         1.851.118    </w:t>
            </w:r>
          </w:p>
        </w:tc>
        <w:tc>
          <w:tcPr>
            <w:tcW w:w="907" w:type="dxa"/>
            <w:noWrap/>
            <w:hideMark/>
          </w:tcPr>
          <w:p w14:paraId="22FBB214" w14:textId="77777777" w:rsidR="001D72A3" w:rsidRPr="001D72A3" w:rsidRDefault="001D72A3" w:rsidP="001D72A3">
            <w:pPr>
              <w:jc w:val="both"/>
            </w:pPr>
            <w:r w:rsidRPr="001D72A3">
              <w:t>103%</w:t>
            </w:r>
          </w:p>
        </w:tc>
        <w:tc>
          <w:tcPr>
            <w:tcW w:w="1184" w:type="dxa"/>
            <w:noWrap/>
            <w:hideMark/>
          </w:tcPr>
          <w:p w14:paraId="2CEB717F" w14:textId="77777777" w:rsidR="001D72A3" w:rsidRPr="001D72A3" w:rsidRDefault="001D72A3" w:rsidP="001D72A3">
            <w:pPr>
              <w:jc w:val="both"/>
            </w:pPr>
            <w:r w:rsidRPr="001D72A3">
              <w:t>31%</w:t>
            </w:r>
          </w:p>
        </w:tc>
      </w:tr>
      <w:tr w:rsidR="001D72A3" w:rsidRPr="001D72A3" w14:paraId="00CE3C92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180B37C5" w14:textId="77777777" w:rsidR="001D72A3" w:rsidRPr="001D72A3" w:rsidRDefault="001D72A3" w:rsidP="001D72A3">
            <w:pPr>
              <w:jc w:val="both"/>
            </w:pPr>
            <w:r w:rsidRPr="001D72A3">
              <w:t>155</w:t>
            </w:r>
          </w:p>
        </w:tc>
        <w:tc>
          <w:tcPr>
            <w:tcW w:w="674" w:type="dxa"/>
            <w:noWrap/>
            <w:hideMark/>
          </w:tcPr>
          <w:p w14:paraId="0167437B" w14:textId="77777777" w:rsidR="001D72A3" w:rsidRPr="001D72A3" w:rsidRDefault="001D72A3" w:rsidP="001D72A3">
            <w:pPr>
              <w:jc w:val="both"/>
            </w:pPr>
            <w:r w:rsidRPr="001D72A3">
              <w:t>312</w:t>
            </w:r>
          </w:p>
        </w:tc>
        <w:tc>
          <w:tcPr>
            <w:tcW w:w="3135" w:type="dxa"/>
            <w:hideMark/>
          </w:tcPr>
          <w:p w14:paraId="71948106" w14:textId="77777777" w:rsidR="001D72A3" w:rsidRPr="001D72A3" w:rsidRDefault="001D72A3" w:rsidP="001D72A3">
            <w:pPr>
              <w:jc w:val="both"/>
            </w:pPr>
            <w:r w:rsidRPr="001D72A3">
              <w:t>Ostali rashodi za zaposlene</w:t>
            </w:r>
          </w:p>
        </w:tc>
        <w:tc>
          <w:tcPr>
            <w:tcW w:w="1266" w:type="dxa"/>
            <w:noWrap/>
            <w:hideMark/>
          </w:tcPr>
          <w:p w14:paraId="6926BDFC" w14:textId="77777777" w:rsidR="001D72A3" w:rsidRPr="001D72A3" w:rsidRDefault="001D72A3" w:rsidP="001D72A3">
            <w:pPr>
              <w:jc w:val="both"/>
            </w:pPr>
            <w:r w:rsidRPr="001D72A3">
              <w:t xml:space="preserve">            132.498    </w:t>
            </w:r>
          </w:p>
        </w:tc>
        <w:tc>
          <w:tcPr>
            <w:tcW w:w="1299" w:type="dxa"/>
            <w:noWrap/>
            <w:hideMark/>
          </w:tcPr>
          <w:p w14:paraId="0E536D34" w14:textId="77777777" w:rsidR="001D72A3" w:rsidRPr="001D72A3" w:rsidRDefault="001D72A3" w:rsidP="001D72A3">
            <w:pPr>
              <w:jc w:val="both"/>
            </w:pPr>
            <w:r w:rsidRPr="001D72A3">
              <w:t xml:space="preserve">             185.603    </w:t>
            </w:r>
          </w:p>
        </w:tc>
        <w:tc>
          <w:tcPr>
            <w:tcW w:w="907" w:type="dxa"/>
            <w:noWrap/>
            <w:hideMark/>
          </w:tcPr>
          <w:p w14:paraId="319112A6" w14:textId="77777777" w:rsidR="001D72A3" w:rsidRPr="001D72A3" w:rsidRDefault="001D72A3" w:rsidP="001D72A3">
            <w:pPr>
              <w:jc w:val="both"/>
            </w:pPr>
            <w:r w:rsidRPr="001D72A3">
              <w:t>140%</w:t>
            </w:r>
          </w:p>
        </w:tc>
        <w:tc>
          <w:tcPr>
            <w:tcW w:w="1184" w:type="dxa"/>
            <w:noWrap/>
            <w:hideMark/>
          </w:tcPr>
          <w:p w14:paraId="25852AF8" w14:textId="77777777" w:rsidR="001D72A3" w:rsidRPr="001D72A3" w:rsidRDefault="001D72A3" w:rsidP="001D72A3">
            <w:pPr>
              <w:jc w:val="both"/>
            </w:pPr>
            <w:r w:rsidRPr="001D72A3">
              <w:t>3%</w:t>
            </w:r>
          </w:p>
        </w:tc>
      </w:tr>
      <w:tr w:rsidR="001D72A3" w:rsidRPr="001D72A3" w14:paraId="5040768C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02F663AA" w14:textId="77777777" w:rsidR="001D72A3" w:rsidRPr="001D72A3" w:rsidRDefault="001D72A3" w:rsidP="001D72A3">
            <w:pPr>
              <w:jc w:val="both"/>
            </w:pPr>
            <w:r w:rsidRPr="001D72A3">
              <w:t>156</w:t>
            </w:r>
          </w:p>
        </w:tc>
        <w:tc>
          <w:tcPr>
            <w:tcW w:w="674" w:type="dxa"/>
            <w:noWrap/>
            <w:hideMark/>
          </w:tcPr>
          <w:p w14:paraId="415A3432" w14:textId="77777777" w:rsidR="001D72A3" w:rsidRPr="001D72A3" w:rsidRDefault="001D72A3" w:rsidP="001D72A3">
            <w:pPr>
              <w:jc w:val="both"/>
            </w:pPr>
            <w:r w:rsidRPr="001D72A3">
              <w:t>313</w:t>
            </w:r>
          </w:p>
        </w:tc>
        <w:tc>
          <w:tcPr>
            <w:tcW w:w="3135" w:type="dxa"/>
            <w:hideMark/>
          </w:tcPr>
          <w:p w14:paraId="3C91336C" w14:textId="77777777" w:rsidR="001D72A3" w:rsidRPr="001D72A3" w:rsidRDefault="001D72A3" w:rsidP="001D72A3">
            <w:pPr>
              <w:jc w:val="both"/>
            </w:pPr>
            <w:r w:rsidRPr="001D72A3">
              <w:t>Doprinosi na plaće</w:t>
            </w:r>
          </w:p>
        </w:tc>
        <w:tc>
          <w:tcPr>
            <w:tcW w:w="1266" w:type="dxa"/>
            <w:noWrap/>
            <w:hideMark/>
          </w:tcPr>
          <w:p w14:paraId="296E8BE1" w14:textId="77777777" w:rsidR="001D72A3" w:rsidRPr="001D72A3" w:rsidRDefault="001D72A3" w:rsidP="001D72A3">
            <w:pPr>
              <w:jc w:val="both"/>
            </w:pPr>
            <w:r w:rsidRPr="001D72A3">
              <w:t xml:space="preserve">            288.427    </w:t>
            </w:r>
          </w:p>
        </w:tc>
        <w:tc>
          <w:tcPr>
            <w:tcW w:w="1299" w:type="dxa"/>
            <w:noWrap/>
            <w:hideMark/>
          </w:tcPr>
          <w:p w14:paraId="10F901D2" w14:textId="77777777" w:rsidR="001D72A3" w:rsidRPr="001D72A3" w:rsidRDefault="001D72A3" w:rsidP="001D72A3">
            <w:pPr>
              <w:jc w:val="both"/>
            </w:pPr>
            <w:r w:rsidRPr="001D72A3">
              <w:t xml:space="preserve">             265.433    </w:t>
            </w:r>
          </w:p>
        </w:tc>
        <w:tc>
          <w:tcPr>
            <w:tcW w:w="907" w:type="dxa"/>
            <w:noWrap/>
            <w:hideMark/>
          </w:tcPr>
          <w:p w14:paraId="3BC788EA" w14:textId="77777777" w:rsidR="001D72A3" w:rsidRPr="001D72A3" w:rsidRDefault="001D72A3" w:rsidP="001D72A3">
            <w:pPr>
              <w:jc w:val="both"/>
            </w:pPr>
            <w:r w:rsidRPr="001D72A3">
              <w:t>92%</w:t>
            </w:r>
          </w:p>
        </w:tc>
        <w:tc>
          <w:tcPr>
            <w:tcW w:w="1184" w:type="dxa"/>
            <w:noWrap/>
            <w:hideMark/>
          </w:tcPr>
          <w:p w14:paraId="70DC589D" w14:textId="77777777" w:rsidR="001D72A3" w:rsidRPr="001D72A3" w:rsidRDefault="001D72A3" w:rsidP="001D72A3">
            <w:pPr>
              <w:jc w:val="both"/>
            </w:pPr>
            <w:r w:rsidRPr="001D72A3">
              <w:t>4%</w:t>
            </w:r>
          </w:p>
        </w:tc>
      </w:tr>
      <w:tr w:rsidR="001D72A3" w:rsidRPr="001D72A3" w14:paraId="3222CE2A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5410A7E8" w14:textId="77777777" w:rsidR="001D72A3" w:rsidRPr="001D72A3" w:rsidRDefault="001D72A3" w:rsidP="001D72A3">
            <w:pPr>
              <w:jc w:val="both"/>
            </w:pPr>
            <w:r w:rsidRPr="001D72A3">
              <w:t>161</w:t>
            </w:r>
          </w:p>
        </w:tc>
        <w:tc>
          <w:tcPr>
            <w:tcW w:w="674" w:type="dxa"/>
            <w:noWrap/>
            <w:hideMark/>
          </w:tcPr>
          <w:p w14:paraId="1E066153" w14:textId="77777777" w:rsidR="001D72A3" w:rsidRPr="001D72A3" w:rsidRDefault="001D72A3" w:rsidP="001D72A3">
            <w:pPr>
              <w:jc w:val="both"/>
            </w:pPr>
            <w:r w:rsidRPr="001D72A3">
              <w:t>321</w:t>
            </w:r>
          </w:p>
        </w:tc>
        <w:tc>
          <w:tcPr>
            <w:tcW w:w="3135" w:type="dxa"/>
            <w:hideMark/>
          </w:tcPr>
          <w:p w14:paraId="75D07229" w14:textId="77777777" w:rsidR="001D72A3" w:rsidRPr="001D72A3" w:rsidRDefault="001D72A3" w:rsidP="001D72A3">
            <w:pPr>
              <w:jc w:val="both"/>
            </w:pPr>
            <w:r w:rsidRPr="001D72A3">
              <w:t>Naknade troškova zaposlenima</w:t>
            </w:r>
          </w:p>
        </w:tc>
        <w:tc>
          <w:tcPr>
            <w:tcW w:w="1266" w:type="dxa"/>
            <w:noWrap/>
            <w:hideMark/>
          </w:tcPr>
          <w:p w14:paraId="58B873E6" w14:textId="77777777" w:rsidR="001D72A3" w:rsidRPr="001D72A3" w:rsidRDefault="001D72A3" w:rsidP="001D72A3">
            <w:pPr>
              <w:jc w:val="both"/>
            </w:pPr>
            <w:r w:rsidRPr="001D72A3">
              <w:t xml:space="preserve">            127.461    </w:t>
            </w:r>
          </w:p>
        </w:tc>
        <w:tc>
          <w:tcPr>
            <w:tcW w:w="1299" w:type="dxa"/>
            <w:noWrap/>
            <w:hideMark/>
          </w:tcPr>
          <w:p w14:paraId="374312B3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82.116    </w:t>
            </w:r>
          </w:p>
        </w:tc>
        <w:tc>
          <w:tcPr>
            <w:tcW w:w="907" w:type="dxa"/>
            <w:noWrap/>
            <w:hideMark/>
          </w:tcPr>
          <w:p w14:paraId="23313632" w14:textId="77777777" w:rsidR="001D72A3" w:rsidRPr="001D72A3" w:rsidRDefault="001D72A3" w:rsidP="001D72A3">
            <w:pPr>
              <w:jc w:val="both"/>
            </w:pPr>
            <w:r w:rsidRPr="001D72A3">
              <w:t>64%</w:t>
            </w:r>
          </w:p>
        </w:tc>
        <w:tc>
          <w:tcPr>
            <w:tcW w:w="1184" w:type="dxa"/>
            <w:noWrap/>
            <w:hideMark/>
          </w:tcPr>
          <w:p w14:paraId="31F8D57C" w14:textId="77777777" w:rsidR="001D72A3" w:rsidRPr="001D72A3" w:rsidRDefault="001D72A3" w:rsidP="001D72A3">
            <w:pPr>
              <w:jc w:val="both"/>
            </w:pPr>
            <w:r w:rsidRPr="001D72A3">
              <w:t>1%</w:t>
            </w:r>
          </w:p>
        </w:tc>
      </w:tr>
      <w:tr w:rsidR="001D72A3" w:rsidRPr="001D72A3" w14:paraId="78B5EAA5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7C4BEC1C" w14:textId="77777777" w:rsidR="001D72A3" w:rsidRPr="001D72A3" w:rsidRDefault="001D72A3" w:rsidP="001D72A3">
            <w:pPr>
              <w:jc w:val="both"/>
            </w:pPr>
            <w:r w:rsidRPr="001D72A3">
              <w:t>166</w:t>
            </w:r>
          </w:p>
        </w:tc>
        <w:tc>
          <w:tcPr>
            <w:tcW w:w="674" w:type="dxa"/>
            <w:noWrap/>
            <w:hideMark/>
          </w:tcPr>
          <w:p w14:paraId="07ADD99F" w14:textId="77777777" w:rsidR="001D72A3" w:rsidRPr="001D72A3" w:rsidRDefault="001D72A3" w:rsidP="001D72A3">
            <w:pPr>
              <w:jc w:val="both"/>
            </w:pPr>
            <w:r w:rsidRPr="001D72A3">
              <w:t>322</w:t>
            </w:r>
          </w:p>
        </w:tc>
        <w:tc>
          <w:tcPr>
            <w:tcW w:w="3135" w:type="dxa"/>
            <w:hideMark/>
          </w:tcPr>
          <w:p w14:paraId="33826E85" w14:textId="77777777" w:rsidR="001D72A3" w:rsidRPr="001D72A3" w:rsidRDefault="001D72A3" w:rsidP="001D72A3">
            <w:pPr>
              <w:jc w:val="both"/>
            </w:pPr>
            <w:r w:rsidRPr="001D72A3">
              <w:t>Rashodi za materijal i energiju</w:t>
            </w:r>
          </w:p>
        </w:tc>
        <w:tc>
          <w:tcPr>
            <w:tcW w:w="1266" w:type="dxa"/>
            <w:noWrap/>
            <w:hideMark/>
          </w:tcPr>
          <w:p w14:paraId="2DD6C247" w14:textId="77777777" w:rsidR="001D72A3" w:rsidRPr="001D72A3" w:rsidRDefault="001D72A3" w:rsidP="001D72A3">
            <w:pPr>
              <w:jc w:val="both"/>
            </w:pPr>
            <w:r w:rsidRPr="001D72A3">
              <w:t xml:space="preserve">            480.213    </w:t>
            </w:r>
          </w:p>
        </w:tc>
        <w:tc>
          <w:tcPr>
            <w:tcW w:w="1299" w:type="dxa"/>
            <w:noWrap/>
            <w:hideMark/>
          </w:tcPr>
          <w:p w14:paraId="22E7EF18" w14:textId="77777777" w:rsidR="001D72A3" w:rsidRPr="001D72A3" w:rsidRDefault="001D72A3" w:rsidP="001D72A3">
            <w:pPr>
              <w:jc w:val="both"/>
            </w:pPr>
            <w:r w:rsidRPr="001D72A3">
              <w:t xml:space="preserve">             442.630    </w:t>
            </w:r>
          </w:p>
        </w:tc>
        <w:tc>
          <w:tcPr>
            <w:tcW w:w="907" w:type="dxa"/>
            <w:noWrap/>
            <w:hideMark/>
          </w:tcPr>
          <w:p w14:paraId="36CC2244" w14:textId="77777777" w:rsidR="001D72A3" w:rsidRPr="001D72A3" w:rsidRDefault="001D72A3" w:rsidP="001D72A3">
            <w:pPr>
              <w:jc w:val="both"/>
            </w:pPr>
            <w:r w:rsidRPr="001D72A3">
              <w:t>92%</w:t>
            </w:r>
          </w:p>
        </w:tc>
        <w:tc>
          <w:tcPr>
            <w:tcW w:w="1184" w:type="dxa"/>
            <w:noWrap/>
            <w:hideMark/>
          </w:tcPr>
          <w:p w14:paraId="504B6D88" w14:textId="77777777" w:rsidR="001D72A3" w:rsidRPr="001D72A3" w:rsidRDefault="001D72A3" w:rsidP="001D72A3">
            <w:pPr>
              <w:jc w:val="both"/>
            </w:pPr>
            <w:r w:rsidRPr="001D72A3">
              <w:t>7%</w:t>
            </w:r>
          </w:p>
        </w:tc>
      </w:tr>
      <w:tr w:rsidR="001D72A3" w:rsidRPr="001D72A3" w14:paraId="665CD0BB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75F7BFE3" w14:textId="77777777" w:rsidR="001D72A3" w:rsidRPr="001D72A3" w:rsidRDefault="001D72A3" w:rsidP="001D72A3">
            <w:pPr>
              <w:jc w:val="both"/>
            </w:pPr>
            <w:r w:rsidRPr="001D72A3">
              <w:t>174</w:t>
            </w:r>
          </w:p>
        </w:tc>
        <w:tc>
          <w:tcPr>
            <w:tcW w:w="674" w:type="dxa"/>
            <w:noWrap/>
            <w:hideMark/>
          </w:tcPr>
          <w:p w14:paraId="3C8962B9" w14:textId="77777777" w:rsidR="001D72A3" w:rsidRPr="001D72A3" w:rsidRDefault="001D72A3" w:rsidP="001D72A3">
            <w:pPr>
              <w:jc w:val="both"/>
            </w:pPr>
            <w:r w:rsidRPr="001D72A3">
              <w:t>323</w:t>
            </w:r>
          </w:p>
        </w:tc>
        <w:tc>
          <w:tcPr>
            <w:tcW w:w="3135" w:type="dxa"/>
            <w:hideMark/>
          </w:tcPr>
          <w:p w14:paraId="7D9D2566" w14:textId="77777777" w:rsidR="001D72A3" w:rsidRPr="001D72A3" w:rsidRDefault="001D72A3" w:rsidP="001D72A3">
            <w:pPr>
              <w:jc w:val="both"/>
            </w:pPr>
            <w:r w:rsidRPr="001D72A3">
              <w:t>Rashodi za usluge</w:t>
            </w:r>
          </w:p>
        </w:tc>
        <w:tc>
          <w:tcPr>
            <w:tcW w:w="1266" w:type="dxa"/>
            <w:noWrap/>
            <w:hideMark/>
          </w:tcPr>
          <w:p w14:paraId="10B0C43A" w14:textId="77777777" w:rsidR="001D72A3" w:rsidRPr="001D72A3" w:rsidRDefault="001D72A3" w:rsidP="001D72A3">
            <w:pPr>
              <w:jc w:val="both"/>
            </w:pPr>
            <w:r w:rsidRPr="001D72A3">
              <w:t xml:space="preserve">        2.944.948    </w:t>
            </w:r>
          </w:p>
        </w:tc>
        <w:tc>
          <w:tcPr>
            <w:tcW w:w="1299" w:type="dxa"/>
            <w:noWrap/>
            <w:hideMark/>
          </w:tcPr>
          <w:p w14:paraId="68649672" w14:textId="77777777" w:rsidR="001D72A3" w:rsidRPr="001D72A3" w:rsidRDefault="001D72A3" w:rsidP="001D72A3">
            <w:pPr>
              <w:jc w:val="both"/>
            </w:pPr>
            <w:r w:rsidRPr="001D72A3">
              <w:t xml:space="preserve">         2.565.430    </w:t>
            </w:r>
          </w:p>
        </w:tc>
        <w:tc>
          <w:tcPr>
            <w:tcW w:w="907" w:type="dxa"/>
            <w:noWrap/>
            <w:hideMark/>
          </w:tcPr>
          <w:p w14:paraId="75EC8826" w14:textId="77777777" w:rsidR="001D72A3" w:rsidRPr="001D72A3" w:rsidRDefault="001D72A3" w:rsidP="001D72A3">
            <w:pPr>
              <w:jc w:val="both"/>
            </w:pPr>
            <w:r w:rsidRPr="001D72A3">
              <w:t>87%</w:t>
            </w:r>
          </w:p>
        </w:tc>
        <w:tc>
          <w:tcPr>
            <w:tcW w:w="1184" w:type="dxa"/>
            <w:noWrap/>
            <w:hideMark/>
          </w:tcPr>
          <w:p w14:paraId="0E3019DC" w14:textId="77777777" w:rsidR="001D72A3" w:rsidRPr="001D72A3" w:rsidRDefault="001D72A3" w:rsidP="001D72A3">
            <w:pPr>
              <w:jc w:val="both"/>
            </w:pPr>
            <w:r w:rsidRPr="001D72A3">
              <w:t>42%</w:t>
            </w:r>
          </w:p>
        </w:tc>
      </w:tr>
      <w:tr w:rsidR="001D72A3" w:rsidRPr="001D72A3" w14:paraId="7EDA3E97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11C07E89" w14:textId="77777777" w:rsidR="001D72A3" w:rsidRPr="001D72A3" w:rsidRDefault="001D72A3" w:rsidP="001D72A3">
            <w:pPr>
              <w:jc w:val="both"/>
            </w:pPr>
            <w:r w:rsidRPr="001D72A3">
              <w:t>184</w:t>
            </w:r>
          </w:p>
        </w:tc>
        <w:tc>
          <w:tcPr>
            <w:tcW w:w="674" w:type="dxa"/>
            <w:noWrap/>
            <w:hideMark/>
          </w:tcPr>
          <w:p w14:paraId="20C31720" w14:textId="77777777" w:rsidR="001D72A3" w:rsidRPr="001D72A3" w:rsidRDefault="001D72A3" w:rsidP="001D72A3">
            <w:pPr>
              <w:jc w:val="both"/>
            </w:pPr>
            <w:r w:rsidRPr="001D72A3">
              <w:t>324</w:t>
            </w:r>
          </w:p>
        </w:tc>
        <w:tc>
          <w:tcPr>
            <w:tcW w:w="3135" w:type="dxa"/>
            <w:hideMark/>
          </w:tcPr>
          <w:p w14:paraId="775AF9CB" w14:textId="77777777" w:rsidR="001D72A3" w:rsidRPr="001D72A3" w:rsidRDefault="001D72A3" w:rsidP="001D72A3">
            <w:pPr>
              <w:jc w:val="both"/>
            </w:pPr>
            <w:r w:rsidRPr="001D72A3">
              <w:t>Naknade troškova osobama izvan radnog odnosa</w:t>
            </w:r>
          </w:p>
        </w:tc>
        <w:tc>
          <w:tcPr>
            <w:tcW w:w="1266" w:type="dxa"/>
            <w:noWrap/>
            <w:hideMark/>
          </w:tcPr>
          <w:p w14:paraId="782DD269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           -    </w:t>
            </w:r>
          </w:p>
        </w:tc>
        <w:tc>
          <w:tcPr>
            <w:tcW w:w="1299" w:type="dxa"/>
            <w:noWrap/>
            <w:hideMark/>
          </w:tcPr>
          <w:p w14:paraId="10EDF51E" w14:textId="77777777" w:rsidR="001D72A3" w:rsidRPr="001D72A3" w:rsidRDefault="001D72A3" w:rsidP="001D72A3">
            <w:pPr>
              <w:jc w:val="both"/>
            </w:pPr>
            <w:r w:rsidRPr="001D72A3">
              <w:t>7.958</w:t>
            </w:r>
          </w:p>
        </w:tc>
        <w:tc>
          <w:tcPr>
            <w:tcW w:w="907" w:type="dxa"/>
            <w:noWrap/>
            <w:hideMark/>
          </w:tcPr>
          <w:p w14:paraId="13E133D4" w14:textId="77777777" w:rsidR="001D72A3" w:rsidRPr="001D72A3" w:rsidRDefault="001D72A3" w:rsidP="001D72A3">
            <w:pPr>
              <w:jc w:val="both"/>
            </w:pPr>
            <w:r w:rsidRPr="001D72A3">
              <w:t>#DIV/0!</w:t>
            </w:r>
          </w:p>
        </w:tc>
        <w:tc>
          <w:tcPr>
            <w:tcW w:w="1184" w:type="dxa"/>
            <w:noWrap/>
            <w:hideMark/>
          </w:tcPr>
          <w:p w14:paraId="418DFAC5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4A23138F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15A01DB2" w14:textId="77777777" w:rsidR="001D72A3" w:rsidRPr="001D72A3" w:rsidRDefault="001D72A3" w:rsidP="001D72A3">
            <w:pPr>
              <w:jc w:val="both"/>
            </w:pPr>
            <w:r w:rsidRPr="001D72A3">
              <w:t>185</w:t>
            </w:r>
          </w:p>
        </w:tc>
        <w:tc>
          <w:tcPr>
            <w:tcW w:w="674" w:type="dxa"/>
            <w:noWrap/>
            <w:hideMark/>
          </w:tcPr>
          <w:p w14:paraId="3A9FEC70" w14:textId="77777777" w:rsidR="001D72A3" w:rsidRPr="001D72A3" w:rsidRDefault="001D72A3" w:rsidP="001D72A3">
            <w:pPr>
              <w:jc w:val="both"/>
            </w:pPr>
            <w:r w:rsidRPr="001D72A3">
              <w:t>329</w:t>
            </w:r>
          </w:p>
        </w:tc>
        <w:tc>
          <w:tcPr>
            <w:tcW w:w="3135" w:type="dxa"/>
            <w:hideMark/>
          </w:tcPr>
          <w:p w14:paraId="243E5610" w14:textId="77777777" w:rsidR="001D72A3" w:rsidRPr="001D72A3" w:rsidRDefault="001D72A3" w:rsidP="001D72A3">
            <w:pPr>
              <w:jc w:val="both"/>
            </w:pPr>
            <w:r w:rsidRPr="001D72A3">
              <w:t>Ostali nespomenuti rashodi poslovanja</w:t>
            </w:r>
          </w:p>
        </w:tc>
        <w:tc>
          <w:tcPr>
            <w:tcW w:w="1266" w:type="dxa"/>
            <w:noWrap/>
            <w:hideMark/>
          </w:tcPr>
          <w:p w14:paraId="06786155" w14:textId="77777777" w:rsidR="001D72A3" w:rsidRPr="001D72A3" w:rsidRDefault="001D72A3" w:rsidP="001D72A3">
            <w:pPr>
              <w:jc w:val="both"/>
            </w:pPr>
            <w:r w:rsidRPr="001D72A3">
              <w:t xml:space="preserve">            295.934    </w:t>
            </w:r>
          </w:p>
        </w:tc>
        <w:tc>
          <w:tcPr>
            <w:tcW w:w="1299" w:type="dxa"/>
            <w:noWrap/>
            <w:hideMark/>
          </w:tcPr>
          <w:p w14:paraId="533AB239" w14:textId="77777777" w:rsidR="001D72A3" w:rsidRPr="001D72A3" w:rsidRDefault="001D72A3" w:rsidP="001D72A3">
            <w:pPr>
              <w:jc w:val="both"/>
            </w:pPr>
            <w:r w:rsidRPr="001D72A3">
              <w:t xml:space="preserve">             180.302    </w:t>
            </w:r>
          </w:p>
        </w:tc>
        <w:tc>
          <w:tcPr>
            <w:tcW w:w="907" w:type="dxa"/>
            <w:noWrap/>
            <w:hideMark/>
          </w:tcPr>
          <w:p w14:paraId="0DD42554" w14:textId="77777777" w:rsidR="001D72A3" w:rsidRPr="001D72A3" w:rsidRDefault="001D72A3" w:rsidP="001D72A3">
            <w:pPr>
              <w:jc w:val="both"/>
            </w:pPr>
            <w:r w:rsidRPr="001D72A3">
              <w:t>61%</w:t>
            </w:r>
          </w:p>
        </w:tc>
        <w:tc>
          <w:tcPr>
            <w:tcW w:w="1184" w:type="dxa"/>
            <w:noWrap/>
            <w:hideMark/>
          </w:tcPr>
          <w:p w14:paraId="1EA8BB38" w14:textId="77777777" w:rsidR="001D72A3" w:rsidRPr="001D72A3" w:rsidRDefault="001D72A3" w:rsidP="001D72A3">
            <w:pPr>
              <w:jc w:val="both"/>
            </w:pPr>
            <w:r w:rsidRPr="001D72A3">
              <w:t>3%</w:t>
            </w:r>
          </w:p>
        </w:tc>
      </w:tr>
      <w:tr w:rsidR="001D72A3" w:rsidRPr="001D72A3" w14:paraId="1685D847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3EB221FA" w14:textId="77777777" w:rsidR="001D72A3" w:rsidRPr="001D72A3" w:rsidRDefault="001D72A3" w:rsidP="001D72A3">
            <w:pPr>
              <w:jc w:val="both"/>
            </w:pPr>
            <w:r w:rsidRPr="001D72A3">
              <w:t>207</w:t>
            </w:r>
          </w:p>
        </w:tc>
        <w:tc>
          <w:tcPr>
            <w:tcW w:w="674" w:type="dxa"/>
            <w:noWrap/>
            <w:hideMark/>
          </w:tcPr>
          <w:p w14:paraId="52CE432B" w14:textId="77777777" w:rsidR="001D72A3" w:rsidRPr="001D72A3" w:rsidRDefault="001D72A3" w:rsidP="001D72A3">
            <w:pPr>
              <w:jc w:val="both"/>
            </w:pPr>
            <w:r w:rsidRPr="001D72A3">
              <w:t>343</w:t>
            </w:r>
          </w:p>
        </w:tc>
        <w:tc>
          <w:tcPr>
            <w:tcW w:w="3135" w:type="dxa"/>
            <w:hideMark/>
          </w:tcPr>
          <w:p w14:paraId="4DF3B02C" w14:textId="77777777" w:rsidR="001D72A3" w:rsidRPr="001D72A3" w:rsidRDefault="001D72A3" w:rsidP="001D72A3">
            <w:pPr>
              <w:jc w:val="both"/>
            </w:pPr>
            <w:r w:rsidRPr="001D72A3">
              <w:t>Ostali financijski rashodi</w:t>
            </w:r>
          </w:p>
        </w:tc>
        <w:tc>
          <w:tcPr>
            <w:tcW w:w="1266" w:type="dxa"/>
            <w:noWrap/>
            <w:hideMark/>
          </w:tcPr>
          <w:p w14:paraId="18BA62E0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  8.618    </w:t>
            </w:r>
          </w:p>
        </w:tc>
        <w:tc>
          <w:tcPr>
            <w:tcW w:w="1299" w:type="dxa"/>
            <w:noWrap/>
            <w:hideMark/>
          </w:tcPr>
          <w:p w14:paraId="416FEB84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13.443    </w:t>
            </w:r>
          </w:p>
        </w:tc>
        <w:tc>
          <w:tcPr>
            <w:tcW w:w="907" w:type="dxa"/>
            <w:noWrap/>
            <w:hideMark/>
          </w:tcPr>
          <w:p w14:paraId="7DAAED02" w14:textId="77777777" w:rsidR="001D72A3" w:rsidRPr="001D72A3" w:rsidRDefault="001D72A3" w:rsidP="001D72A3">
            <w:pPr>
              <w:jc w:val="both"/>
            </w:pPr>
            <w:r w:rsidRPr="001D72A3">
              <w:t>156%</w:t>
            </w:r>
          </w:p>
        </w:tc>
        <w:tc>
          <w:tcPr>
            <w:tcW w:w="1184" w:type="dxa"/>
            <w:noWrap/>
            <w:hideMark/>
          </w:tcPr>
          <w:p w14:paraId="21535F90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12D83105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27C6E1C7" w14:textId="77777777" w:rsidR="001D72A3" w:rsidRPr="001D72A3" w:rsidRDefault="001D72A3" w:rsidP="001D72A3">
            <w:pPr>
              <w:jc w:val="both"/>
            </w:pPr>
            <w:r w:rsidRPr="001D72A3">
              <w:t>216</w:t>
            </w:r>
          </w:p>
        </w:tc>
        <w:tc>
          <w:tcPr>
            <w:tcW w:w="674" w:type="dxa"/>
            <w:noWrap/>
            <w:hideMark/>
          </w:tcPr>
          <w:p w14:paraId="13D05BCC" w14:textId="77777777" w:rsidR="001D72A3" w:rsidRPr="001D72A3" w:rsidRDefault="001D72A3" w:rsidP="001D72A3">
            <w:pPr>
              <w:jc w:val="both"/>
            </w:pPr>
            <w:r w:rsidRPr="001D72A3">
              <w:t>352</w:t>
            </w:r>
          </w:p>
        </w:tc>
        <w:tc>
          <w:tcPr>
            <w:tcW w:w="3135" w:type="dxa"/>
            <w:hideMark/>
          </w:tcPr>
          <w:p w14:paraId="3B5E660B" w14:textId="77777777" w:rsidR="001D72A3" w:rsidRPr="001D72A3" w:rsidRDefault="001D72A3" w:rsidP="001D72A3">
            <w:pPr>
              <w:jc w:val="both"/>
            </w:pPr>
            <w:r w:rsidRPr="001D72A3">
              <w:t>Subvencije obrtnicima</w:t>
            </w:r>
          </w:p>
        </w:tc>
        <w:tc>
          <w:tcPr>
            <w:tcW w:w="1266" w:type="dxa"/>
            <w:noWrap/>
            <w:hideMark/>
          </w:tcPr>
          <w:p w14:paraId="2F7D9208" w14:textId="77777777" w:rsidR="001D72A3" w:rsidRPr="001D72A3" w:rsidRDefault="001D72A3" w:rsidP="001D72A3">
            <w:pPr>
              <w:jc w:val="both"/>
            </w:pPr>
            <w:r w:rsidRPr="001D72A3">
              <w:t>1500</w:t>
            </w:r>
          </w:p>
        </w:tc>
        <w:tc>
          <w:tcPr>
            <w:tcW w:w="1299" w:type="dxa"/>
            <w:noWrap/>
            <w:hideMark/>
          </w:tcPr>
          <w:p w14:paraId="7F58152B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  1.500    </w:t>
            </w:r>
          </w:p>
        </w:tc>
        <w:tc>
          <w:tcPr>
            <w:tcW w:w="907" w:type="dxa"/>
            <w:noWrap/>
            <w:hideMark/>
          </w:tcPr>
          <w:p w14:paraId="713111C6" w14:textId="77777777" w:rsidR="001D72A3" w:rsidRPr="001D72A3" w:rsidRDefault="001D72A3" w:rsidP="001D72A3">
            <w:pPr>
              <w:jc w:val="both"/>
            </w:pPr>
            <w:r w:rsidRPr="001D72A3">
              <w:t>100%</w:t>
            </w:r>
          </w:p>
        </w:tc>
        <w:tc>
          <w:tcPr>
            <w:tcW w:w="1184" w:type="dxa"/>
            <w:noWrap/>
            <w:hideMark/>
          </w:tcPr>
          <w:p w14:paraId="0283BC37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12368FFE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0ADD58A6" w14:textId="77777777" w:rsidR="001D72A3" w:rsidRPr="001D72A3" w:rsidRDefault="001D72A3" w:rsidP="001D72A3">
            <w:pPr>
              <w:jc w:val="both"/>
            </w:pPr>
            <w:r w:rsidRPr="001D72A3">
              <w:t>220</w:t>
            </w:r>
          </w:p>
        </w:tc>
        <w:tc>
          <w:tcPr>
            <w:tcW w:w="674" w:type="dxa"/>
            <w:noWrap/>
            <w:hideMark/>
          </w:tcPr>
          <w:p w14:paraId="689E9BE3" w14:textId="77777777" w:rsidR="001D72A3" w:rsidRPr="001D72A3" w:rsidRDefault="001D72A3" w:rsidP="001D72A3">
            <w:pPr>
              <w:jc w:val="both"/>
            </w:pPr>
            <w:r w:rsidRPr="001D72A3">
              <w:t>353</w:t>
            </w:r>
          </w:p>
        </w:tc>
        <w:tc>
          <w:tcPr>
            <w:tcW w:w="3135" w:type="dxa"/>
            <w:hideMark/>
          </w:tcPr>
          <w:p w14:paraId="27CF4D86" w14:textId="77777777" w:rsidR="001D72A3" w:rsidRPr="001D72A3" w:rsidRDefault="001D72A3" w:rsidP="001D72A3">
            <w:pPr>
              <w:jc w:val="both"/>
            </w:pPr>
            <w:r w:rsidRPr="001D72A3">
              <w:t>Subvencije obrtnicima iz EU sredstava</w:t>
            </w:r>
          </w:p>
        </w:tc>
        <w:tc>
          <w:tcPr>
            <w:tcW w:w="1266" w:type="dxa"/>
            <w:noWrap/>
            <w:hideMark/>
          </w:tcPr>
          <w:p w14:paraId="56DDE366" w14:textId="77777777" w:rsidR="001D72A3" w:rsidRPr="001D72A3" w:rsidRDefault="001D72A3" w:rsidP="001D72A3">
            <w:pPr>
              <w:jc w:val="both"/>
            </w:pPr>
            <w:r w:rsidRPr="001D72A3">
              <w:t>8500</w:t>
            </w:r>
          </w:p>
        </w:tc>
        <w:tc>
          <w:tcPr>
            <w:tcW w:w="1299" w:type="dxa"/>
            <w:noWrap/>
            <w:hideMark/>
          </w:tcPr>
          <w:p w14:paraId="1969921B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  8.500    </w:t>
            </w:r>
          </w:p>
        </w:tc>
        <w:tc>
          <w:tcPr>
            <w:tcW w:w="907" w:type="dxa"/>
            <w:noWrap/>
            <w:hideMark/>
          </w:tcPr>
          <w:p w14:paraId="0216C551" w14:textId="77777777" w:rsidR="001D72A3" w:rsidRPr="001D72A3" w:rsidRDefault="001D72A3" w:rsidP="001D72A3">
            <w:pPr>
              <w:jc w:val="both"/>
            </w:pPr>
            <w:r w:rsidRPr="001D72A3">
              <w:t>100%</w:t>
            </w:r>
          </w:p>
        </w:tc>
        <w:tc>
          <w:tcPr>
            <w:tcW w:w="1184" w:type="dxa"/>
            <w:noWrap/>
            <w:hideMark/>
          </w:tcPr>
          <w:p w14:paraId="3E9C6E0C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718F16D8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523EAE48" w14:textId="77777777" w:rsidR="001D72A3" w:rsidRPr="001D72A3" w:rsidRDefault="001D72A3" w:rsidP="001D72A3">
            <w:pPr>
              <w:jc w:val="both"/>
            </w:pPr>
            <w:r w:rsidRPr="001D72A3">
              <w:t>231</w:t>
            </w:r>
          </w:p>
        </w:tc>
        <w:tc>
          <w:tcPr>
            <w:tcW w:w="674" w:type="dxa"/>
            <w:noWrap/>
            <w:hideMark/>
          </w:tcPr>
          <w:p w14:paraId="49B0E409" w14:textId="77777777" w:rsidR="001D72A3" w:rsidRPr="001D72A3" w:rsidRDefault="001D72A3" w:rsidP="001D72A3">
            <w:pPr>
              <w:jc w:val="both"/>
            </w:pPr>
            <w:r w:rsidRPr="001D72A3">
              <w:t>366</w:t>
            </w:r>
          </w:p>
        </w:tc>
        <w:tc>
          <w:tcPr>
            <w:tcW w:w="3135" w:type="dxa"/>
            <w:hideMark/>
          </w:tcPr>
          <w:p w14:paraId="22290BFB" w14:textId="77777777" w:rsidR="001D72A3" w:rsidRPr="001D72A3" w:rsidRDefault="001D72A3" w:rsidP="001D72A3">
            <w:pPr>
              <w:jc w:val="both"/>
            </w:pPr>
            <w:r w:rsidRPr="001D72A3">
              <w:t>Pomoći pro. kor. Drugih proračuna</w:t>
            </w:r>
          </w:p>
        </w:tc>
        <w:tc>
          <w:tcPr>
            <w:tcW w:w="1266" w:type="dxa"/>
            <w:noWrap/>
            <w:hideMark/>
          </w:tcPr>
          <w:p w14:paraId="1BBD6671" w14:textId="77777777" w:rsidR="001D72A3" w:rsidRPr="001D72A3" w:rsidRDefault="001D72A3" w:rsidP="001D72A3">
            <w:pPr>
              <w:jc w:val="both"/>
            </w:pPr>
            <w:r w:rsidRPr="001D72A3">
              <w:t> </w:t>
            </w:r>
          </w:p>
        </w:tc>
        <w:tc>
          <w:tcPr>
            <w:tcW w:w="1299" w:type="dxa"/>
            <w:noWrap/>
            <w:hideMark/>
          </w:tcPr>
          <w:p w14:paraId="4C0FB0C0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15.008    </w:t>
            </w:r>
          </w:p>
        </w:tc>
        <w:tc>
          <w:tcPr>
            <w:tcW w:w="907" w:type="dxa"/>
            <w:noWrap/>
            <w:hideMark/>
          </w:tcPr>
          <w:p w14:paraId="10FC9C54" w14:textId="77777777" w:rsidR="001D72A3" w:rsidRPr="001D72A3" w:rsidRDefault="001D72A3" w:rsidP="001D72A3">
            <w:pPr>
              <w:jc w:val="both"/>
            </w:pPr>
            <w:r w:rsidRPr="001D72A3">
              <w:t>#DIV/0!</w:t>
            </w:r>
          </w:p>
        </w:tc>
        <w:tc>
          <w:tcPr>
            <w:tcW w:w="1184" w:type="dxa"/>
            <w:noWrap/>
            <w:hideMark/>
          </w:tcPr>
          <w:p w14:paraId="46060F8B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41712020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196C4406" w14:textId="77777777" w:rsidR="001D72A3" w:rsidRPr="001D72A3" w:rsidRDefault="001D72A3" w:rsidP="001D72A3">
            <w:pPr>
              <w:jc w:val="both"/>
            </w:pPr>
            <w:r w:rsidRPr="001D72A3">
              <w:t>238</w:t>
            </w:r>
          </w:p>
        </w:tc>
        <w:tc>
          <w:tcPr>
            <w:tcW w:w="674" w:type="dxa"/>
            <w:noWrap/>
            <w:hideMark/>
          </w:tcPr>
          <w:p w14:paraId="697A4EDA" w14:textId="77777777" w:rsidR="001D72A3" w:rsidRPr="001D72A3" w:rsidRDefault="001D72A3" w:rsidP="001D72A3">
            <w:pPr>
              <w:jc w:val="both"/>
            </w:pPr>
            <w:r w:rsidRPr="001D72A3">
              <w:t>368</w:t>
            </w:r>
          </w:p>
        </w:tc>
        <w:tc>
          <w:tcPr>
            <w:tcW w:w="3135" w:type="dxa"/>
            <w:hideMark/>
          </w:tcPr>
          <w:p w14:paraId="142FF5A3" w14:textId="77777777" w:rsidR="001D72A3" w:rsidRPr="001D72A3" w:rsidRDefault="001D72A3" w:rsidP="001D72A3">
            <w:pPr>
              <w:jc w:val="both"/>
            </w:pPr>
            <w:r w:rsidRPr="001D72A3">
              <w:t>Pomoći temeljem prijenosa EU sredstava</w:t>
            </w:r>
          </w:p>
        </w:tc>
        <w:tc>
          <w:tcPr>
            <w:tcW w:w="1266" w:type="dxa"/>
            <w:noWrap/>
            <w:hideMark/>
          </w:tcPr>
          <w:p w14:paraId="0EEF2C09" w14:textId="77777777" w:rsidR="001D72A3" w:rsidRPr="001D72A3" w:rsidRDefault="001D72A3" w:rsidP="001D72A3">
            <w:pPr>
              <w:jc w:val="both"/>
            </w:pPr>
            <w:r w:rsidRPr="001D72A3">
              <w:t>0,00</w:t>
            </w:r>
          </w:p>
        </w:tc>
        <w:tc>
          <w:tcPr>
            <w:tcW w:w="1299" w:type="dxa"/>
            <w:noWrap/>
            <w:hideMark/>
          </w:tcPr>
          <w:p w14:paraId="08790321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85.048    </w:t>
            </w:r>
          </w:p>
        </w:tc>
        <w:tc>
          <w:tcPr>
            <w:tcW w:w="907" w:type="dxa"/>
            <w:noWrap/>
            <w:hideMark/>
          </w:tcPr>
          <w:p w14:paraId="2579C2C3" w14:textId="77777777" w:rsidR="001D72A3" w:rsidRPr="001D72A3" w:rsidRDefault="001D72A3" w:rsidP="001D72A3">
            <w:pPr>
              <w:jc w:val="both"/>
            </w:pPr>
            <w:r w:rsidRPr="001D72A3">
              <w:t>#DIV/0!</w:t>
            </w:r>
          </w:p>
        </w:tc>
        <w:tc>
          <w:tcPr>
            <w:tcW w:w="1184" w:type="dxa"/>
            <w:noWrap/>
            <w:hideMark/>
          </w:tcPr>
          <w:p w14:paraId="4B31680A" w14:textId="77777777" w:rsidR="001D72A3" w:rsidRPr="001D72A3" w:rsidRDefault="001D72A3" w:rsidP="001D72A3">
            <w:pPr>
              <w:jc w:val="both"/>
            </w:pPr>
            <w:r w:rsidRPr="001D72A3">
              <w:t>1%</w:t>
            </w:r>
          </w:p>
        </w:tc>
      </w:tr>
      <w:tr w:rsidR="001D72A3" w:rsidRPr="001D72A3" w14:paraId="1DF7C12A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2BEA32F5" w14:textId="77777777" w:rsidR="001D72A3" w:rsidRPr="001D72A3" w:rsidRDefault="001D72A3" w:rsidP="001D72A3">
            <w:pPr>
              <w:jc w:val="both"/>
            </w:pPr>
            <w:r w:rsidRPr="001D72A3">
              <w:t>253</w:t>
            </w:r>
          </w:p>
        </w:tc>
        <w:tc>
          <w:tcPr>
            <w:tcW w:w="674" w:type="dxa"/>
            <w:noWrap/>
            <w:hideMark/>
          </w:tcPr>
          <w:p w14:paraId="52B1B7D8" w14:textId="77777777" w:rsidR="001D72A3" w:rsidRPr="001D72A3" w:rsidRDefault="001D72A3" w:rsidP="001D72A3">
            <w:pPr>
              <w:jc w:val="both"/>
            </w:pPr>
            <w:r w:rsidRPr="001D72A3">
              <w:t>372</w:t>
            </w:r>
          </w:p>
        </w:tc>
        <w:tc>
          <w:tcPr>
            <w:tcW w:w="3135" w:type="dxa"/>
            <w:hideMark/>
          </w:tcPr>
          <w:p w14:paraId="06E6C751" w14:textId="77777777" w:rsidR="001D72A3" w:rsidRPr="001D72A3" w:rsidRDefault="001D72A3" w:rsidP="001D72A3">
            <w:pPr>
              <w:jc w:val="both"/>
            </w:pPr>
            <w:r w:rsidRPr="001D72A3">
              <w:t>Ostale naknade  građanima iz proračuna</w:t>
            </w:r>
          </w:p>
        </w:tc>
        <w:tc>
          <w:tcPr>
            <w:tcW w:w="1266" w:type="dxa"/>
            <w:noWrap/>
            <w:hideMark/>
          </w:tcPr>
          <w:p w14:paraId="5E792CD7" w14:textId="77777777" w:rsidR="001D72A3" w:rsidRPr="001D72A3" w:rsidRDefault="001D72A3" w:rsidP="001D72A3">
            <w:pPr>
              <w:jc w:val="both"/>
            </w:pPr>
            <w:r w:rsidRPr="001D72A3">
              <w:t>2557</w:t>
            </w:r>
          </w:p>
        </w:tc>
        <w:tc>
          <w:tcPr>
            <w:tcW w:w="1299" w:type="dxa"/>
            <w:noWrap/>
            <w:hideMark/>
          </w:tcPr>
          <w:p w14:paraId="69BA19B5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65.310    </w:t>
            </w:r>
          </w:p>
        </w:tc>
        <w:tc>
          <w:tcPr>
            <w:tcW w:w="907" w:type="dxa"/>
            <w:noWrap/>
            <w:hideMark/>
          </w:tcPr>
          <w:p w14:paraId="23791A49" w14:textId="77777777" w:rsidR="001D72A3" w:rsidRPr="001D72A3" w:rsidRDefault="001D72A3" w:rsidP="001D72A3">
            <w:pPr>
              <w:jc w:val="both"/>
            </w:pPr>
            <w:r w:rsidRPr="001D72A3">
              <w:t>2554%</w:t>
            </w:r>
          </w:p>
        </w:tc>
        <w:tc>
          <w:tcPr>
            <w:tcW w:w="1184" w:type="dxa"/>
            <w:noWrap/>
            <w:hideMark/>
          </w:tcPr>
          <w:p w14:paraId="77F21AB6" w14:textId="77777777" w:rsidR="001D72A3" w:rsidRPr="001D72A3" w:rsidRDefault="001D72A3" w:rsidP="001D72A3">
            <w:pPr>
              <w:jc w:val="both"/>
            </w:pPr>
            <w:r w:rsidRPr="001D72A3">
              <w:t>1%</w:t>
            </w:r>
          </w:p>
        </w:tc>
      </w:tr>
      <w:tr w:rsidR="001D72A3" w:rsidRPr="001D72A3" w14:paraId="52BE7923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44BA2447" w14:textId="77777777" w:rsidR="001D72A3" w:rsidRPr="001D72A3" w:rsidRDefault="001D72A3" w:rsidP="001D72A3">
            <w:pPr>
              <w:jc w:val="both"/>
            </w:pPr>
            <w:r w:rsidRPr="001D72A3">
              <w:t>258</w:t>
            </w:r>
          </w:p>
        </w:tc>
        <w:tc>
          <w:tcPr>
            <w:tcW w:w="674" w:type="dxa"/>
            <w:noWrap/>
            <w:hideMark/>
          </w:tcPr>
          <w:p w14:paraId="340E7E3A" w14:textId="77777777" w:rsidR="001D72A3" w:rsidRPr="001D72A3" w:rsidRDefault="001D72A3" w:rsidP="001D72A3">
            <w:pPr>
              <w:jc w:val="both"/>
            </w:pPr>
            <w:r w:rsidRPr="001D72A3">
              <w:t>381</w:t>
            </w:r>
          </w:p>
        </w:tc>
        <w:tc>
          <w:tcPr>
            <w:tcW w:w="3135" w:type="dxa"/>
            <w:hideMark/>
          </w:tcPr>
          <w:p w14:paraId="2B0D4705" w14:textId="77777777" w:rsidR="001D72A3" w:rsidRPr="001D72A3" w:rsidRDefault="001D72A3" w:rsidP="001D72A3">
            <w:pPr>
              <w:jc w:val="both"/>
            </w:pPr>
            <w:r w:rsidRPr="001D72A3">
              <w:t>Tekuće donacije</w:t>
            </w:r>
          </w:p>
        </w:tc>
        <w:tc>
          <w:tcPr>
            <w:tcW w:w="1266" w:type="dxa"/>
            <w:noWrap/>
            <w:hideMark/>
          </w:tcPr>
          <w:p w14:paraId="376A5D63" w14:textId="77777777" w:rsidR="001D72A3" w:rsidRPr="001D72A3" w:rsidRDefault="001D72A3" w:rsidP="001D72A3">
            <w:pPr>
              <w:jc w:val="both"/>
            </w:pPr>
            <w:r w:rsidRPr="001D72A3">
              <w:t>0,00</w:t>
            </w:r>
          </w:p>
        </w:tc>
        <w:tc>
          <w:tcPr>
            <w:tcW w:w="1299" w:type="dxa"/>
            <w:noWrap/>
            <w:hideMark/>
          </w:tcPr>
          <w:p w14:paraId="068D7F40" w14:textId="77777777" w:rsidR="001D72A3" w:rsidRPr="001D72A3" w:rsidRDefault="001D72A3" w:rsidP="001D72A3">
            <w:pPr>
              <w:jc w:val="both"/>
            </w:pPr>
            <w:r w:rsidRPr="001D72A3">
              <w:t xml:space="preserve">               23.563    </w:t>
            </w:r>
          </w:p>
        </w:tc>
        <w:tc>
          <w:tcPr>
            <w:tcW w:w="907" w:type="dxa"/>
            <w:noWrap/>
            <w:hideMark/>
          </w:tcPr>
          <w:p w14:paraId="7D577D62" w14:textId="77777777" w:rsidR="001D72A3" w:rsidRPr="001D72A3" w:rsidRDefault="001D72A3" w:rsidP="001D72A3">
            <w:pPr>
              <w:jc w:val="both"/>
            </w:pPr>
            <w:r w:rsidRPr="001D72A3">
              <w:t>#DIV/0!</w:t>
            </w:r>
          </w:p>
        </w:tc>
        <w:tc>
          <w:tcPr>
            <w:tcW w:w="1184" w:type="dxa"/>
            <w:noWrap/>
            <w:hideMark/>
          </w:tcPr>
          <w:p w14:paraId="20720F37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4766847C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703A0A7B" w14:textId="77777777" w:rsidR="001D72A3" w:rsidRPr="001D72A3" w:rsidRDefault="001D72A3" w:rsidP="001D72A3">
            <w:pPr>
              <w:jc w:val="both"/>
            </w:pPr>
            <w:r w:rsidRPr="001D72A3">
              <w:t>347</w:t>
            </w:r>
          </w:p>
        </w:tc>
        <w:tc>
          <w:tcPr>
            <w:tcW w:w="674" w:type="dxa"/>
            <w:noWrap/>
            <w:hideMark/>
          </w:tcPr>
          <w:p w14:paraId="7DB0F78F" w14:textId="77777777" w:rsidR="001D72A3" w:rsidRPr="001D72A3" w:rsidRDefault="001D72A3" w:rsidP="001D72A3">
            <w:pPr>
              <w:jc w:val="both"/>
            </w:pPr>
            <w:r w:rsidRPr="001D72A3">
              <w:t>412</w:t>
            </w:r>
          </w:p>
        </w:tc>
        <w:tc>
          <w:tcPr>
            <w:tcW w:w="3135" w:type="dxa"/>
            <w:hideMark/>
          </w:tcPr>
          <w:p w14:paraId="091611ED" w14:textId="77777777" w:rsidR="001D72A3" w:rsidRPr="001D72A3" w:rsidRDefault="001D72A3" w:rsidP="001D72A3">
            <w:pPr>
              <w:jc w:val="both"/>
            </w:pPr>
            <w:r w:rsidRPr="001D72A3">
              <w:t>Licence</w:t>
            </w:r>
          </w:p>
        </w:tc>
        <w:tc>
          <w:tcPr>
            <w:tcW w:w="1266" w:type="dxa"/>
            <w:noWrap/>
            <w:hideMark/>
          </w:tcPr>
          <w:p w14:paraId="2EBA7702" w14:textId="77777777" w:rsidR="001D72A3" w:rsidRPr="001D72A3" w:rsidRDefault="001D72A3" w:rsidP="001D72A3">
            <w:pPr>
              <w:jc w:val="both"/>
            </w:pPr>
            <w:r w:rsidRPr="001D72A3">
              <w:t>0</w:t>
            </w:r>
          </w:p>
        </w:tc>
        <w:tc>
          <w:tcPr>
            <w:tcW w:w="1299" w:type="dxa"/>
            <w:noWrap/>
            <w:hideMark/>
          </w:tcPr>
          <w:p w14:paraId="42744D43" w14:textId="77777777" w:rsidR="001D72A3" w:rsidRPr="001D72A3" w:rsidRDefault="001D72A3" w:rsidP="001D72A3">
            <w:pPr>
              <w:jc w:val="both"/>
            </w:pPr>
            <w:r w:rsidRPr="001D72A3">
              <w:t>25000</w:t>
            </w:r>
          </w:p>
        </w:tc>
        <w:tc>
          <w:tcPr>
            <w:tcW w:w="907" w:type="dxa"/>
            <w:noWrap/>
            <w:hideMark/>
          </w:tcPr>
          <w:p w14:paraId="02C4CC66" w14:textId="77777777" w:rsidR="001D72A3" w:rsidRPr="001D72A3" w:rsidRDefault="001D72A3" w:rsidP="001D72A3">
            <w:pPr>
              <w:jc w:val="both"/>
            </w:pPr>
            <w:r w:rsidRPr="001D72A3">
              <w:t>#DIV/0!</w:t>
            </w:r>
          </w:p>
        </w:tc>
        <w:tc>
          <w:tcPr>
            <w:tcW w:w="1184" w:type="dxa"/>
            <w:noWrap/>
            <w:hideMark/>
          </w:tcPr>
          <w:p w14:paraId="52E21C5A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49832AB8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42F56715" w14:textId="77777777" w:rsidR="001D72A3" w:rsidRPr="001D72A3" w:rsidRDefault="001D72A3" w:rsidP="001D72A3">
            <w:pPr>
              <w:jc w:val="both"/>
            </w:pPr>
            <w:r w:rsidRPr="001D72A3">
              <w:t>360</w:t>
            </w:r>
          </w:p>
        </w:tc>
        <w:tc>
          <w:tcPr>
            <w:tcW w:w="674" w:type="dxa"/>
            <w:noWrap/>
            <w:hideMark/>
          </w:tcPr>
          <w:p w14:paraId="5B8068E5" w14:textId="77777777" w:rsidR="001D72A3" w:rsidRPr="001D72A3" w:rsidRDefault="001D72A3" w:rsidP="001D72A3">
            <w:pPr>
              <w:jc w:val="both"/>
            </w:pPr>
            <w:r w:rsidRPr="001D72A3">
              <w:t>422</w:t>
            </w:r>
          </w:p>
        </w:tc>
        <w:tc>
          <w:tcPr>
            <w:tcW w:w="3135" w:type="dxa"/>
            <w:hideMark/>
          </w:tcPr>
          <w:p w14:paraId="6844F1FB" w14:textId="77777777" w:rsidR="001D72A3" w:rsidRPr="001D72A3" w:rsidRDefault="001D72A3" w:rsidP="001D72A3">
            <w:pPr>
              <w:jc w:val="both"/>
            </w:pPr>
            <w:r w:rsidRPr="001D72A3">
              <w:t>Postrojenja i oprema</w:t>
            </w:r>
          </w:p>
        </w:tc>
        <w:tc>
          <w:tcPr>
            <w:tcW w:w="1266" w:type="dxa"/>
            <w:noWrap/>
            <w:hideMark/>
          </w:tcPr>
          <w:p w14:paraId="38040D64" w14:textId="77777777" w:rsidR="001D72A3" w:rsidRPr="001D72A3" w:rsidRDefault="001D72A3" w:rsidP="001D72A3">
            <w:pPr>
              <w:jc w:val="both"/>
            </w:pPr>
            <w:r w:rsidRPr="001D72A3">
              <w:t xml:space="preserve">            211.921    </w:t>
            </w:r>
          </w:p>
        </w:tc>
        <w:tc>
          <w:tcPr>
            <w:tcW w:w="1299" w:type="dxa"/>
            <w:noWrap/>
            <w:hideMark/>
          </w:tcPr>
          <w:p w14:paraId="0E827BB0" w14:textId="77777777" w:rsidR="001D72A3" w:rsidRPr="001D72A3" w:rsidRDefault="001D72A3" w:rsidP="001D72A3">
            <w:pPr>
              <w:jc w:val="both"/>
            </w:pPr>
            <w:r w:rsidRPr="001D72A3">
              <w:t xml:space="preserve">209.338 </w:t>
            </w:r>
          </w:p>
        </w:tc>
        <w:tc>
          <w:tcPr>
            <w:tcW w:w="907" w:type="dxa"/>
            <w:noWrap/>
            <w:hideMark/>
          </w:tcPr>
          <w:p w14:paraId="3ECFD7EB" w14:textId="77777777" w:rsidR="001D72A3" w:rsidRPr="001D72A3" w:rsidRDefault="001D72A3" w:rsidP="001D72A3">
            <w:pPr>
              <w:jc w:val="both"/>
            </w:pPr>
            <w:r w:rsidRPr="001D72A3">
              <w:t>99%</w:t>
            </w:r>
          </w:p>
        </w:tc>
        <w:tc>
          <w:tcPr>
            <w:tcW w:w="1184" w:type="dxa"/>
            <w:noWrap/>
            <w:hideMark/>
          </w:tcPr>
          <w:p w14:paraId="469B2910" w14:textId="77777777" w:rsidR="001D72A3" w:rsidRPr="001D72A3" w:rsidRDefault="001D72A3" w:rsidP="001D72A3">
            <w:pPr>
              <w:jc w:val="both"/>
            </w:pPr>
            <w:r w:rsidRPr="001D72A3">
              <w:t>3%</w:t>
            </w:r>
          </w:p>
        </w:tc>
      </w:tr>
      <w:tr w:rsidR="001D72A3" w:rsidRPr="001D72A3" w14:paraId="7CEB2EE3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480AC1DD" w14:textId="77777777" w:rsidR="001D72A3" w:rsidRPr="001D72A3" w:rsidRDefault="001D72A3" w:rsidP="001D72A3">
            <w:pPr>
              <w:jc w:val="both"/>
            </w:pPr>
            <w:r w:rsidRPr="001D72A3">
              <w:t>374</w:t>
            </w:r>
          </w:p>
        </w:tc>
        <w:tc>
          <w:tcPr>
            <w:tcW w:w="674" w:type="dxa"/>
            <w:noWrap/>
            <w:hideMark/>
          </w:tcPr>
          <w:p w14:paraId="5FBC2023" w14:textId="77777777" w:rsidR="001D72A3" w:rsidRPr="001D72A3" w:rsidRDefault="001D72A3" w:rsidP="001D72A3">
            <w:pPr>
              <w:jc w:val="both"/>
            </w:pPr>
            <w:r w:rsidRPr="001D72A3">
              <w:t>424</w:t>
            </w:r>
          </w:p>
        </w:tc>
        <w:tc>
          <w:tcPr>
            <w:tcW w:w="3135" w:type="dxa"/>
            <w:hideMark/>
          </w:tcPr>
          <w:p w14:paraId="4F29CB49" w14:textId="77777777" w:rsidR="001D72A3" w:rsidRPr="001D72A3" w:rsidRDefault="001D72A3" w:rsidP="001D72A3">
            <w:pPr>
              <w:jc w:val="both"/>
            </w:pPr>
            <w:r w:rsidRPr="001D72A3">
              <w:t>Knjige, umjetnička djela i ostale izložbene vrijednosti</w:t>
            </w:r>
          </w:p>
        </w:tc>
        <w:tc>
          <w:tcPr>
            <w:tcW w:w="1266" w:type="dxa"/>
            <w:noWrap/>
            <w:hideMark/>
          </w:tcPr>
          <w:p w14:paraId="116890EE" w14:textId="77777777" w:rsidR="001D72A3" w:rsidRPr="001D72A3" w:rsidRDefault="001D72A3" w:rsidP="001D72A3">
            <w:pPr>
              <w:jc w:val="both"/>
            </w:pPr>
            <w:r w:rsidRPr="001D72A3">
              <w:t xml:space="preserve">              31.000    </w:t>
            </w:r>
          </w:p>
        </w:tc>
        <w:tc>
          <w:tcPr>
            <w:tcW w:w="1299" w:type="dxa"/>
            <w:noWrap/>
            <w:hideMark/>
          </w:tcPr>
          <w:p w14:paraId="738CB307" w14:textId="77777777" w:rsidR="001D72A3" w:rsidRPr="001D72A3" w:rsidRDefault="001D72A3" w:rsidP="001D72A3">
            <w:pPr>
              <w:jc w:val="both"/>
            </w:pPr>
            <w:r w:rsidRPr="001D72A3">
              <w:t>17.000</w:t>
            </w:r>
          </w:p>
        </w:tc>
        <w:tc>
          <w:tcPr>
            <w:tcW w:w="907" w:type="dxa"/>
            <w:noWrap/>
            <w:hideMark/>
          </w:tcPr>
          <w:p w14:paraId="77BD1910" w14:textId="77777777" w:rsidR="001D72A3" w:rsidRPr="001D72A3" w:rsidRDefault="001D72A3" w:rsidP="001D72A3">
            <w:pPr>
              <w:jc w:val="both"/>
            </w:pPr>
            <w:r w:rsidRPr="001D72A3">
              <w:t>55%</w:t>
            </w:r>
          </w:p>
        </w:tc>
        <w:tc>
          <w:tcPr>
            <w:tcW w:w="1184" w:type="dxa"/>
            <w:noWrap/>
            <w:hideMark/>
          </w:tcPr>
          <w:p w14:paraId="2C776F07" w14:textId="77777777" w:rsidR="001D72A3" w:rsidRPr="001D72A3" w:rsidRDefault="001D72A3" w:rsidP="001D72A3">
            <w:pPr>
              <w:jc w:val="both"/>
            </w:pPr>
            <w:r w:rsidRPr="001D72A3">
              <w:t>0%</w:t>
            </w:r>
          </w:p>
        </w:tc>
      </w:tr>
      <w:tr w:rsidR="001D72A3" w:rsidRPr="001D72A3" w14:paraId="78140E68" w14:textId="77777777" w:rsidTr="001D72A3">
        <w:trPr>
          <w:trHeight w:val="259"/>
        </w:trPr>
        <w:tc>
          <w:tcPr>
            <w:tcW w:w="597" w:type="dxa"/>
            <w:noWrap/>
            <w:hideMark/>
          </w:tcPr>
          <w:p w14:paraId="6572C861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>404</w:t>
            </w:r>
          </w:p>
        </w:tc>
        <w:tc>
          <w:tcPr>
            <w:tcW w:w="674" w:type="dxa"/>
            <w:noWrap/>
            <w:hideMark/>
          </w:tcPr>
          <w:p w14:paraId="7F7E0C46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> </w:t>
            </w:r>
          </w:p>
        </w:tc>
        <w:tc>
          <w:tcPr>
            <w:tcW w:w="3135" w:type="dxa"/>
            <w:noWrap/>
            <w:hideMark/>
          </w:tcPr>
          <w:p w14:paraId="21A9CDDF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>UKUPNO RASHODI</w:t>
            </w:r>
          </w:p>
        </w:tc>
        <w:tc>
          <w:tcPr>
            <w:tcW w:w="1266" w:type="dxa"/>
            <w:noWrap/>
            <w:hideMark/>
          </w:tcPr>
          <w:p w14:paraId="0A4BA1FB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 xml:space="preserve">        6.323.663    </w:t>
            </w:r>
          </w:p>
        </w:tc>
        <w:tc>
          <w:tcPr>
            <w:tcW w:w="1299" w:type="dxa"/>
            <w:noWrap/>
            <w:hideMark/>
          </w:tcPr>
          <w:p w14:paraId="1291D5FB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 xml:space="preserve">         6.044.300    </w:t>
            </w:r>
          </w:p>
        </w:tc>
        <w:tc>
          <w:tcPr>
            <w:tcW w:w="907" w:type="dxa"/>
            <w:noWrap/>
            <w:hideMark/>
          </w:tcPr>
          <w:p w14:paraId="7FCAAFB5" w14:textId="77777777" w:rsidR="001D72A3" w:rsidRPr="001D72A3" w:rsidRDefault="001D72A3" w:rsidP="001D72A3">
            <w:pPr>
              <w:jc w:val="both"/>
            </w:pPr>
            <w:r w:rsidRPr="001D72A3">
              <w:t>96%</w:t>
            </w:r>
          </w:p>
        </w:tc>
        <w:tc>
          <w:tcPr>
            <w:tcW w:w="1184" w:type="dxa"/>
            <w:noWrap/>
            <w:hideMark/>
          </w:tcPr>
          <w:p w14:paraId="1DC3B56E" w14:textId="77777777" w:rsidR="001D72A3" w:rsidRPr="001D72A3" w:rsidRDefault="001D72A3" w:rsidP="001D72A3">
            <w:pPr>
              <w:jc w:val="both"/>
              <w:rPr>
                <w:b/>
                <w:bCs/>
              </w:rPr>
            </w:pPr>
            <w:r w:rsidRPr="001D72A3">
              <w:rPr>
                <w:b/>
                <w:bCs/>
              </w:rPr>
              <w:t>100%</w:t>
            </w:r>
          </w:p>
        </w:tc>
      </w:tr>
    </w:tbl>
    <w:p w14:paraId="5AF6714F" w14:textId="05D6D7B3" w:rsidR="00FE334D" w:rsidRDefault="00FE334D" w:rsidP="005D32FC">
      <w:pPr>
        <w:jc w:val="both"/>
      </w:pPr>
    </w:p>
    <w:p w14:paraId="3B65BE96" w14:textId="77777777" w:rsidR="00851B69" w:rsidRDefault="00851B69" w:rsidP="005D32FC">
      <w:pPr>
        <w:jc w:val="both"/>
      </w:pPr>
      <w:r>
        <w:t>Najznačajniji udio u ukupnim rashodima imaju rashodi za zaposlene (bruto plaće, doprinosi na plaće, naknade troškova zaposlenima, rashodi za materijal i energiju te rashodi za usluge)</w:t>
      </w:r>
    </w:p>
    <w:p w14:paraId="494D66FE" w14:textId="77777777" w:rsidR="00851B69" w:rsidRDefault="00851B69" w:rsidP="005D32FC">
      <w:pPr>
        <w:jc w:val="both"/>
      </w:pPr>
      <w:r>
        <w:t>AOP (184) – naknada troškova osobama izvan radnog odnosa odnosi se na troškove za isplaćene doprinose za stručno osposobljavanje za rad bez zasnivanja radnog odnosa.</w:t>
      </w:r>
    </w:p>
    <w:p w14:paraId="39750AB2" w14:textId="77777777" w:rsidR="00851B69" w:rsidRDefault="00851B69" w:rsidP="005D32FC">
      <w:pPr>
        <w:jc w:val="both"/>
      </w:pPr>
      <w:r>
        <w:t xml:space="preserve">AOP (231) – pomoći </w:t>
      </w:r>
      <w:proofErr w:type="spellStart"/>
      <w:r>
        <w:t>prorač</w:t>
      </w:r>
      <w:proofErr w:type="spellEnd"/>
      <w:r>
        <w:t>. korisnicima drugih proračuna odnose se na</w:t>
      </w:r>
      <w:r w:rsidR="00E22F4E">
        <w:t xml:space="preserve"> isplatu </w:t>
      </w:r>
      <w:r>
        <w:t xml:space="preserve"> </w:t>
      </w:r>
      <w:r w:rsidR="00E22F4E">
        <w:t>Ekonomskoj trgovačka škola za projekt Gastro klub</w:t>
      </w:r>
    </w:p>
    <w:p w14:paraId="5A282222" w14:textId="1D2D2194" w:rsidR="00E22F4E" w:rsidRDefault="00E22F4E" w:rsidP="00E22F4E">
      <w:pPr>
        <w:jc w:val="both"/>
      </w:pPr>
      <w:r>
        <w:t>AOP (</w:t>
      </w:r>
      <w:r w:rsidR="001D72A3">
        <w:t>238</w:t>
      </w:r>
      <w:r>
        <w:t>) – pomoći temeljem prijenosa EU sredstava odnose se na isplatu  Ekonomskoj trgovačka škola za projekt Gastro klub</w:t>
      </w:r>
    </w:p>
    <w:p w14:paraId="50B25987" w14:textId="77777777" w:rsidR="00E22F4E" w:rsidRDefault="00E22F4E" w:rsidP="00E22F4E">
      <w:pPr>
        <w:jc w:val="both"/>
      </w:pPr>
      <w:r>
        <w:t>AOP (253) – ostale naknade građanima i kućanstvima odnose se na sufinanciranje cijene prijevoza, te zaštitne opreme za proje</w:t>
      </w:r>
      <w:r w:rsidR="00A5350A">
        <w:t xml:space="preserve">kt Mjesto za nas </w:t>
      </w:r>
    </w:p>
    <w:p w14:paraId="65216E73" w14:textId="3A6BBEB0" w:rsidR="00E22F4E" w:rsidRDefault="00E22F4E" w:rsidP="00E22F4E">
      <w:pPr>
        <w:jc w:val="both"/>
      </w:pPr>
      <w:r>
        <w:t xml:space="preserve">AOP (258) – </w:t>
      </w:r>
      <w:r w:rsidR="00A5350A">
        <w:t>tekuće donacije – donacija Udruga za održivi razvoj za projekt Gastro klub</w:t>
      </w:r>
    </w:p>
    <w:p w14:paraId="527F2793" w14:textId="6EEDE03E" w:rsidR="000100FC" w:rsidRDefault="000100FC" w:rsidP="00E22F4E">
      <w:pPr>
        <w:jc w:val="both"/>
      </w:pPr>
      <w:r>
        <w:t>AOP (284) – višak prihoda poslovanja – rađena je korekcija rezultata na iznos od 26.723 kn budući da u 2019 u trošak nije uključen trošak PDV-a na besplatne ulaznice</w:t>
      </w:r>
    </w:p>
    <w:p w14:paraId="4E972CE2" w14:textId="77777777" w:rsidR="00A5350A" w:rsidRDefault="00A5350A" w:rsidP="00E22F4E">
      <w:pPr>
        <w:jc w:val="both"/>
      </w:pPr>
    </w:p>
    <w:p w14:paraId="1101F963" w14:textId="4A47618D" w:rsidR="00A5350A" w:rsidRPr="000100FC" w:rsidRDefault="00A5350A" w:rsidP="00A5350A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A5350A">
        <w:rPr>
          <w:b/>
          <w:bCs/>
        </w:rPr>
        <w:t>Bilješka uz OBVEZE</w:t>
      </w:r>
    </w:p>
    <w:p w14:paraId="13C8FFB8" w14:textId="77777777" w:rsidR="00E22F4E" w:rsidRDefault="00A5350A" w:rsidP="005D32FC">
      <w:pPr>
        <w:jc w:val="both"/>
      </w:pPr>
      <w:r>
        <w:t>Bilješka br. 3 – Stanje obveza na kraju izvještajnog razdoblja AOP (036)</w:t>
      </w:r>
    </w:p>
    <w:p w14:paraId="2106E487" w14:textId="1DD53D1C" w:rsidR="00A5350A" w:rsidRDefault="00A5350A" w:rsidP="005D32FC">
      <w:pPr>
        <w:jc w:val="both"/>
      </w:pPr>
      <w:r>
        <w:t xml:space="preserve">Stanje obveza na kraju izvještajnog razdoblja iznose  </w:t>
      </w:r>
      <w:r w:rsidR="001D72A3">
        <w:t>675.264</w:t>
      </w:r>
      <w:r>
        <w:t xml:space="preserve"> kn, a odnose se na međusobne obveze proračunskih korisnika  AOP (091) </w:t>
      </w:r>
      <w:r w:rsidR="001D72A3">
        <w:t xml:space="preserve">238.924 </w:t>
      </w:r>
      <w:r>
        <w:t xml:space="preserve"> kn</w:t>
      </w:r>
      <w:r w:rsidR="001D72A3">
        <w:t>,</w:t>
      </w:r>
      <w:r>
        <w:t xml:space="preserve"> obveza za rashode poslovanja AOP (092) </w:t>
      </w:r>
      <w:r w:rsidR="001D72A3">
        <w:t>308.688</w:t>
      </w:r>
      <w:r w:rsidR="00D3141B">
        <w:t xml:space="preserve"> kn</w:t>
      </w:r>
      <w:r w:rsidR="001D72A3">
        <w:t xml:space="preserve"> i</w:t>
      </w:r>
      <w:r w:rsidR="00D3141B">
        <w:t xml:space="preserve"> obveze za nabavu nefinancijske imovine</w:t>
      </w:r>
      <w:r w:rsidR="001D72A3">
        <w:t xml:space="preserve"> </w:t>
      </w:r>
      <w:r>
        <w:t xml:space="preserve"> </w:t>
      </w:r>
      <w:r w:rsidR="001D72A3">
        <w:t xml:space="preserve">AOP (093) </w:t>
      </w:r>
      <w:r w:rsidR="00D3141B">
        <w:t xml:space="preserve">127.652 </w:t>
      </w:r>
      <w:r>
        <w:t>kn.</w:t>
      </w:r>
    </w:p>
    <w:p w14:paraId="2079C8BD" w14:textId="77777777" w:rsidR="00A5350A" w:rsidRDefault="00A5350A" w:rsidP="00A5350A">
      <w:pPr>
        <w:jc w:val="both"/>
      </w:pPr>
      <w:r>
        <w:t xml:space="preserve"> </w:t>
      </w:r>
    </w:p>
    <w:p w14:paraId="7B16CF40" w14:textId="77777777" w:rsidR="00A5350A" w:rsidRDefault="00A5350A" w:rsidP="00A5350A">
      <w:pPr>
        <w:pStyle w:val="Odlomakpopisa"/>
        <w:numPr>
          <w:ilvl w:val="0"/>
          <w:numId w:val="1"/>
        </w:numPr>
        <w:jc w:val="both"/>
      </w:pPr>
      <w:r>
        <w:t>PREDLED SUDSKIH SPOROVA</w:t>
      </w:r>
    </w:p>
    <w:p w14:paraId="3519CD3A" w14:textId="703ECC4F" w:rsidR="00A5350A" w:rsidRDefault="001D72A3" w:rsidP="00A5350A">
      <w:pPr>
        <w:jc w:val="both"/>
      </w:pPr>
      <w:r w:rsidRPr="001D72A3">
        <w:rPr>
          <w:noProof/>
          <w:lang w:eastAsia="hr-HR"/>
        </w:rPr>
        <w:drawing>
          <wp:inline distT="0" distB="0" distL="0" distR="0" wp14:anchorId="76C0B3B9" wp14:editId="15C3DBD7">
            <wp:extent cx="6343650" cy="16097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F107" w14:textId="676DF0E5" w:rsidR="00A5350A" w:rsidRDefault="00A5350A" w:rsidP="00A5350A">
      <w:pPr>
        <w:jc w:val="both"/>
      </w:pPr>
    </w:p>
    <w:p w14:paraId="524573E8" w14:textId="77777777" w:rsidR="00851B69" w:rsidRDefault="00851B69" w:rsidP="005D32FC">
      <w:pPr>
        <w:jc w:val="both"/>
      </w:pPr>
    </w:p>
    <w:p w14:paraId="4D7C675E" w14:textId="77777777" w:rsidR="00A5350A" w:rsidRDefault="00A5350A" w:rsidP="005D32FC">
      <w:pPr>
        <w:jc w:val="both"/>
      </w:pPr>
    </w:p>
    <w:p w14:paraId="7C893DEE" w14:textId="14313F25" w:rsidR="00A5350A" w:rsidRDefault="00A5350A" w:rsidP="005D32FC">
      <w:pPr>
        <w:jc w:val="both"/>
      </w:pPr>
      <w:r>
        <w:t xml:space="preserve">Samobor, </w:t>
      </w:r>
      <w:r w:rsidR="00CD1F66">
        <w:t>1.2.2021.</w:t>
      </w:r>
      <w:r w:rsidR="00CD1F66">
        <w:tab/>
      </w:r>
      <w:r w:rsidR="00CD1F66">
        <w:tab/>
      </w:r>
      <w:r w:rsidR="00CD1F66">
        <w:tab/>
      </w:r>
      <w:r w:rsidR="00CD1F66">
        <w:tab/>
      </w:r>
      <w:r w:rsidR="00CD1F66">
        <w:tab/>
      </w:r>
      <w:r w:rsidR="00CD1F66">
        <w:tab/>
        <w:t>Odgovorna osoba</w:t>
      </w:r>
    </w:p>
    <w:p w14:paraId="3819D34A" w14:textId="5DB91FF7" w:rsidR="00A5350A" w:rsidRDefault="00A5350A" w:rsidP="005D32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0FC">
        <w:t xml:space="preserve">                  </w:t>
      </w:r>
      <w:r>
        <w:t xml:space="preserve">  </w:t>
      </w:r>
      <w:r w:rsidR="00CD1F66">
        <w:t xml:space="preserve"> </w:t>
      </w:r>
      <w:r w:rsidR="00CD1F66">
        <w:tab/>
      </w:r>
      <w:bookmarkStart w:id="0" w:name="_GoBack"/>
      <w:bookmarkEnd w:id="0"/>
      <w:r>
        <w:t>Jelena Vojvoda</w:t>
      </w:r>
      <w:r w:rsidR="00DD44F1">
        <w:t>, ravnateljica</w:t>
      </w:r>
      <w:r w:rsidR="00CD1F66">
        <w:t>, v.r.</w:t>
      </w:r>
    </w:p>
    <w:sectPr w:rsidR="00A5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91F13"/>
    <w:multiLevelType w:val="hybridMultilevel"/>
    <w:tmpl w:val="7D48D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DB"/>
    <w:rsid w:val="000100FC"/>
    <w:rsid w:val="00046A87"/>
    <w:rsid w:val="001D72A3"/>
    <w:rsid w:val="004119A8"/>
    <w:rsid w:val="005D32FC"/>
    <w:rsid w:val="00851B69"/>
    <w:rsid w:val="008D2DF6"/>
    <w:rsid w:val="009064E7"/>
    <w:rsid w:val="00A5350A"/>
    <w:rsid w:val="00AB75DB"/>
    <w:rsid w:val="00CD1F66"/>
    <w:rsid w:val="00D3141B"/>
    <w:rsid w:val="00DD44F1"/>
    <w:rsid w:val="00E0657F"/>
    <w:rsid w:val="00E22F4E"/>
    <w:rsid w:val="00EA10CB"/>
    <w:rsid w:val="00ED0705"/>
    <w:rsid w:val="00F315CD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78F5"/>
  <w15:chartTrackingRefBased/>
  <w15:docId w15:val="{48E32CE6-0617-452C-94D4-035CE48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64E7"/>
    <w:pPr>
      <w:ind w:left="720"/>
      <w:contextualSpacing/>
    </w:pPr>
  </w:style>
  <w:style w:type="table" w:styleId="Reetkatablice">
    <w:name w:val="Table Grid"/>
    <w:basedOn w:val="Obinatablica"/>
    <w:uiPriority w:val="39"/>
    <w:rsid w:val="00E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Jasmina</cp:lastModifiedBy>
  <cp:revision>5</cp:revision>
  <dcterms:created xsi:type="dcterms:W3CDTF">2021-01-28T10:28:00Z</dcterms:created>
  <dcterms:modified xsi:type="dcterms:W3CDTF">2021-02-05T13:22:00Z</dcterms:modified>
</cp:coreProperties>
</file>